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55" w:lineRule="auto"/>
        <w:rPr>
          <w:rFonts w:hint="eastAsia"/>
          <w:b/>
          <w:sz w:val="28"/>
        </w:rPr>
      </w:pPr>
      <w:r>
        <w:rPr>
          <w:rFonts w:hint="eastAsia"/>
          <w:b/>
          <w:sz w:val="28"/>
        </w:rPr>
        <w:t>ROMANIA</w:t>
      </w:r>
    </w:p>
    <w:p>
      <w:pPr>
        <w:spacing w:after="0" w:line="255" w:lineRule="auto"/>
        <w:rPr>
          <w:rFonts w:hint="eastAsia"/>
          <w:b/>
          <w:sz w:val="28"/>
        </w:rPr>
      </w:pPr>
      <w:r>
        <w:rPr>
          <w:rFonts w:hint="eastAsia"/>
          <w:b/>
          <w:sz w:val="28"/>
        </w:rPr>
        <w:t>JUDETUL BIHOR</w:t>
      </w:r>
    </w:p>
    <w:p>
      <w:pPr>
        <w:spacing w:after="0" w:line="255" w:lineRule="auto"/>
        <w:rPr>
          <w:rFonts w:hint="eastAsia"/>
          <w:b/>
          <w:sz w:val="28"/>
        </w:rPr>
      </w:pPr>
      <w:r>
        <w:rPr>
          <w:rFonts w:hint="eastAsia"/>
          <w:b/>
          <w:sz w:val="28"/>
        </w:rPr>
        <w:t>COMUNA CIUMEGHIU</w:t>
      </w:r>
    </w:p>
    <w:p>
      <w:pPr>
        <w:spacing w:after="0" w:line="255" w:lineRule="auto"/>
        <w:rPr>
          <w:rFonts w:hint="eastAsia"/>
          <w:b/>
          <w:sz w:val="28"/>
        </w:rPr>
      </w:pPr>
      <w:r>
        <w:rPr>
          <w:rFonts w:hint="eastAsia"/>
          <w:b/>
          <w:sz w:val="28"/>
        </w:rPr>
        <w:t>Ciumeghiu nr.9</w:t>
      </w:r>
    </w:p>
    <w:p>
      <w:pPr>
        <w:spacing w:after="0" w:line="255" w:lineRule="auto"/>
        <w:rPr>
          <w:rFonts w:hint="eastAsia"/>
          <w:b/>
          <w:sz w:val="28"/>
        </w:rPr>
      </w:pPr>
      <w:r>
        <w:rPr>
          <w:rFonts w:hint="eastAsia"/>
          <w:b/>
          <w:sz w:val="28"/>
        </w:rPr>
        <w:t>Tel/Fax -0259/392009</w:t>
      </w:r>
    </w:p>
    <w:p>
      <w:pPr>
        <w:spacing w:after="0" w:line="255" w:lineRule="auto"/>
        <w:rPr>
          <w:rFonts w:hint="eastAsia"/>
          <w:b/>
          <w:sz w:val="28"/>
        </w:rPr>
      </w:pPr>
      <w:r>
        <w:rPr>
          <w:rFonts w:hint="eastAsia"/>
          <w:b/>
          <w:sz w:val="28"/>
        </w:rPr>
        <w:t>E-mail:primaria.ciumeghiu@gmail.com</w:t>
      </w:r>
    </w:p>
    <w:p>
      <w:pPr>
        <w:spacing w:after="0" w:line="255" w:lineRule="auto"/>
        <w:rPr>
          <w:rFonts w:hint="eastAsia"/>
          <w:sz w:val="28"/>
        </w:rPr>
      </w:pPr>
      <w:r>
        <w:rPr>
          <w:rFonts w:hint="eastAsia"/>
          <w:b/>
          <w:sz w:val="28"/>
        </w:rPr>
        <w:t>Nr._____/_______________________</w:t>
      </w:r>
    </w:p>
    <w:p>
      <w:pPr>
        <w:tabs>
          <w:tab w:val="left" w:pos="2663"/>
        </w:tabs>
        <w:spacing w:after="0"/>
        <w:rPr>
          <w:rFonts w:hint="eastAsia"/>
          <w:sz w:val="28"/>
        </w:rPr>
      </w:pPr>
      <w:r>
        <w:rPr>
          <w:rFonts w:hint="eastAsia"/>
          <w:sz w:val="28"/>
        </w:rPr>
        <w:t xml:space="preserve"> </w:t>
      </w:r>
    </w:p>
    <w:p>
      <w:pPr>
        <w:tabs>
          <w:tab w:val="left" w:pos="2663"/>
        </w:tabs>
        <w:spacing w:after="0"/>
        <w:rPr>
          <w:rFonts w:hint="eastAsia"/>
          <w:b/>
          <w:sz w:val="28"/>
        </w:rPr>
      </w:pPr>
      <w:r>
        <w:rPr>
          <w:rFonts w:hint="eastAsia"/>
          <w:sz w:val="28"/>
        </w:rPr>
        <w:t xml:space="preserve">                  </w:t>
      </w:r>
      <w:r>
        <w:rPr>
          <w:rFonts w:hint="eastAsia"/>
          <w:b/>
          <w:sz w:val="28"/>
        </w:rPr>
        <w:t xml:space="preserve"> R</w:t>
      </w:r>
      <w:r>
        <w:rPr>
          <w:rFonts w:hint="default"/>
          <w:b/>
          <w:sz w:val="28"/>
          <w:lang w:val="en-US"/>
        </w:rPr>
        <w:t>APORT DE SPECIALITATE</w:t>
      </w:r>
    </w:p>
    <w:p>
      <w:pPr>
        <w:tabs>
          <w:tab w:val="left" w:pos="1305"/>
        </w:tabs>
        <w:spacing w:after="0" w:line="240" w:lineRule="auto"/>
        <w:rPr>
          <w:rFonts w:hint="eastAsia"/>
          <w:sz w:val="28"/>
        </w:rPr>
      </w:pPr>
      <w:r>
        <w:rPr>
          <w:rFonts w:hint="eastAsia"/>
          <w:sz w:val="28"/>
        </w:rPr>
        <w:t xml:space="preserve">      La </w:t>
      </w:r>
      <w:r>
        <w:rPr>
          <w:rFonts w:hint="eastAsia"/>
          <w:b/>
          <w:sz w:val="28"/>
        </w:rPr>
        <w:t>Proiectul de Hotarare</w:t>
      </w:r>
      <w:r>
        <w:rPr>
          <w:rFonts w:hint="eastAsia"/>
          <w:sz w:val="28"/>
        </w:rPr>
        <w:t xml:space="preserve"> privind însușirea documentației cadastrale pentru 4 (patru) imobile in vederea întăbulării și trecerii în domeniul public al comunei.</w:t>
      </w:r>
    </w:p>
    <w:p>
      <w:pPr>
        <w:tabs>
          <w:tab w:val="left" w:pos="1335"/>
        </w:tabs>
        <w:spacing w:after="0" w:line="240" w:lineRule="auto"/>
        <w:rPr>
          <w:rFonts w:hint="eastAsia"/>
          <w:sz w:val="28"/>
        </w:rPr>
      </w:pPr>
    </w:p>
    <w:p>
      <w:pPr>
        <w:shd w:val="solid" w:color="FFFFFF" w:fill="auto"/>
        <w:autoSpaceDN w:val="0"/>
        <w:spacing w:before="120" w:after="0" w:line="255" w:lineRule="auto"/>
        <w:rPr>
          <w:rFonts w:hint="eastAsia"/>
          <w:color w:val="484848"/>
          <w:sz w:val="28"/>
          <w:shd w:val="clear" w:color="auto" w:fill="FFFFFF"/>
        </w:rPr>
      </w:pPr>
      <w:r>
        <w:rPr>
          <w:rFonts w:hint="eastAsia"/>
          <w:sz w:val="28"/>
        </w:rPr>
        <w:t xml:space="preserve">       In vederea reglementarii situației juridice a drumului comunal DC 103,</w:t>
      </w:r>
      <w:r>
        <w:rPr>
          <w:rFonts w:hint="eastAsia"/>
          <w:color w:val="484848"/>
          <w:sz w:val="28"/>
          <w:shd w:val="clear" w:color="auto" w:fill="FFFFFF"/>
        </w:rPr>
        <w:t xml:space="preserve"> propun întăbularea și trecerea în domeniului public al comunei a următoarelor imobile și constituirea a patru numere cadastrale ,astfel :                     1- suprafața de 2870 mp din nr.topo.1946/1a - cu categoria de folosință canal.                2- suprafața de 3760 mp  din nr. topo.1946/1a-cu categoria de folosință canal.                                                             3-suprafața de 11.502 mp din nr.topo.1946/2  ,categoria de folosință canal.               4-suprafata de 18.800 mp formată din:                                                -suprafața de 13.600 mp ,cuprinsa din DE 623 ,cu categoria de folosință drum.                                                                       -suprafața de 5200 mp ,formata din HCN 624 cu suprafata de 1300mp        si HCN 629 cu suprafața de 3900mp ,cu categoria de folosință canal.</w:t>
      </w:r>
    </w:p>
    <w:p>
      <w:pPr>
        <w:shd w:val="solid" w:color="FFFFFF" w:fill="auto"/>
        <w:autoSpaceDN w:val="0"/>
        <w:spacing w:before="120" w:after="120" w:line="240" w:lineRule="auto"/>
        <w:rPr>
          <w:rFonts w:hint="eastAsia"/>
          <w:sz w:val="28"/>
        </w:rPr>
      </w:pPr>
      <w:r>
        <w:rPr>
          <w:rFonts w:hint="eastAsia"/>
          <w:color w:val="484848"/>
          <w:sz w:val="28"/>
          <w:shd w:val="clear" w:color="auto" w:fill="FFFFFF"/>
        </w:rPr>
        <w:t xml:space="preserve">      Totodată </w:t>
      </w:r>
      <w:r>
        <w:rPr>
          <w:rFonts w:hint="default"/>
          <w:color w:val="484848"/>
          <w:sz w:val="28"/>
          <w:shd w:val="clear" w:color="auto" w:fill="FFFFFF"/>
          <w:lang w:val="en-US"/>
        </w:rPr>
        <w:t xml:space="preserve">se </w:t>
      </w:r>
      <w:r>
        <w:rPr>
          <w:rFonts w:hint="eastAsia"/>
          <w:color w:val="484848"/>
          <w:sz w:val="28"/>
          <w:shd w:val="clear" w:color="auto" w:fill="FFFFFF"/>
        </w:rPr>
        <w:t>declar</w:t>
      </w:r>
      <w:r>
        <w:rPr>
          <w:rFonts w:hint="default"/>
          <w:color w:val="484848"/>
          <w:sz w:val="28"/>
          <w:shd w:val="clear" w:color="auto" w:fill="FFFFFF"/>
          <w:lang/>
        </w:rPr>
        <w:t>ă</w:t>
      </w:r>
      <w:bookmarkStart w:id="0" w:name="_GoBack"/>
      <w:bookmarkEnd w:id="0"/>
      <w:r>
        <w:rPr>
          <w:rFonts w:hint="eastAsia"/>
          <w:color w:val="484848"/>
          <w:sz w:val="28"/>
          <w:shd w:val="clear" w:color="auto" w:fill="FFFFFF"/>
        </w:rPr>
        <w:t xml:space="preserve"> de utilitate publică a imobilele mai sus descrise și introducerea lor în domeniul public al comunei Ciumeghiu,reprezentând drum comunal DC 103 și canalul aferent drumului.</w:t>
      </w:r>
    </w:p>
    <w:p>
      <w:pPr>
        <w:tabs>
          <w:tab w:val="left" w:pos="1305"/>
        </w:tabs>
        <w:spacing w:after="0" w:line="240" w:lineRule="auto"/>
        <w:rPr>
          <w:rFonts w:hint="eastAsia"/>
          <w:b/>
          <w:sz w:val="28"/>
        </w:rPr>
      </w:pPr>
      <w:r>
        <w:rPr>
          <w:rFonts w:hint="eastAsia"/>
          <w:sz w:val="28"/>
        </w:rPr>
        <w:t xml:space="preserve">      In temeiul art.129,alin. 2,lit.c ,art. 196,alin.1,lit.a din OUG nr.57/2019 privind Codul administrativ, supun spre aprobarea Consiliului Local Ciumeghiu in sedinta ordinara din 25.10.2022,Proiectul de Hotarare privind însușirea documentatiei cadastrale pentru patru imobile în vederea întabulării și trecerii în domeniul public al comunei.</w:t>
      </w:r>
    </w:p>
    <w:p>
      <w:pPr>
        <w:numPr>
          <w:numId w:val="0"/>
        </w:numPr>
        <w:ind w:firstLine="577"/>
        <w:rPr>
          <w:rFonts w:hint="eastAsia"/>
          <w:b/>
          <w:sz w:val="28"/>
        </w:rPr>
      </w:pPr>
      <w:r>
        <w:rPr>
          <w:rFonts w:hint="eastAsia"/>
          <w:b/>
          <w:sz w:val="28"/>
        </w:rPr>
        <w:t xml:space="preserve">                 </w:t>
      </w:r>
    </w:p>
    <w:p>
      <w:pPr>
        <w:numPr>
          <w:numId w:val="0"/>
        </w:numPr>
        <w:spacing w:after="80" w:line="240" w:lineRule="auto"/>
        <w:ind w:firstLine="577"/>
        <w:rPr>
          <w:rFonts w:hint="default"/>
          <w:b/>
          <w:sz w:val="28"/>
          <w:lang w:val="en-US"/>
        </w:rPr>
      </w:pPr>
      <w:r>
        <w:rPr>
          <w:rFonts w:hint="eastAsia"/>
          <w:b/>
          <w:sz w:val="28"/>
        </w:rPr>
        <w:t xml:space="preserve">                   </w:t>
      </w:r>
      <w:r>
        <w:rPr>
          <w:rFonts w:hint="default"/>
          <w:b/>
          <w:sz w:val="28"/>
          <w:lang w:val="en-US"/>
        </w:rPr>
        <w:t>Compartimentul urbanism cadastru</w:t>
      </w:r>
    </w:p>
    <w:p>
      <w:pPr>
        <w:numPr>
          <w:numId w:val="0"/>
        </w:numPr>
        <w:spacing w:after="80" w:line="240" w:lineRule="auto"/>
        <w:ind w:firstLine="577"/>
        <w:rPr>
          <w:rFonts w:hint="eastAsia"/>
          <w:b/>
          <w:sz w:val="28"/>
          <w:lang w:val="en-US"/>
        </w:rPr>
      </w:pPr>
      <w:r>
        <w:rPr>
          <w:rFonts w:hint="default"/>
          <w:b/>
          <w:sz w:val="28"/>
          <w:lang w:val="en-US"/>
        </w:rPr>
        <w:t xml:space="preserve">                         Mariana Bucsa</w:t>
      </w:r>
    </w:p>
    <w:p>
      <w:pPr>
        <w:numPr>
          <w:numId w:val="0"/>
        </w:numPr>
        <w:spacing w:after="80" w:line="240" w:lineRule="auto"/>
        <w:ind w:firstLine="577"/>
        <w:rPr>
          <w:rFonts w:hint="eastAsia"/>
          <w:sz w:val="28"/>
        </w:rPr>
      </w:pPr>
    </w:p>
    <w:p>
      <w:pPr>
        <w:numPr>
          <w:numId w:val="0"/>
        </w:numPr>
        <w:spacing w:after="80" w:line="240" w:lineRule="auto"/>
        <w:ind w:firstLine="577"/>
        <w:rPr>
          <w:rFonts w:hint="eastAsia"/>
          <w:sz w:val="28"/>
        </w:rPr>
      </w:pPr>
    </w:p>
    <w:p/>
    <w:sectPr>
      <w:pgSz w:w="12247" w:h="15819"/>
      <w:pgMar w:top="1440" w:right="1797" w:bottom="1440" w:left="1797" w:header="708" w:footer="708" w:gutter="0"/>
      <w:cols w:space="720" w:num="1"/>
      <w:docGrid w:linePitch="2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unhideWhenUsed="0" w:uiPriority="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annotation subject"/>
    <w:lsdException w:unhideWhenUsed="0" w:uiPriority="0" w:name="Balloon Text"/>
  </w:latentStyles>
  <w:style w:type="paragraph" w:default="1" w:styleId="1">
    <w:name w:val="Normal"/>
    <w:uiPriority w:val="0"/>
    <w:pPr>
      <w:spacing w:after="200" w:line="276" w:lineRule="auto"/>
    </w:pPr>
    <w:rPr>
      <w:rFonts w:hint="eastAsia" w:ascii="Times New Roman" w:hAnsi="Times New Roman" w:eastAsia="Times New Roman"/>
      <w:sz w:val="22"/>
      <w:lang w:val="en-US" w:eastAsia="en-US"/>
    </w:rPr>
  </w:style>
  <w:style w:type="paragraph" w:styleId="2">
    <w:name w:val="heading 1"/>
    <w:basedOn w:val="1"/>
    <w:next w:val="1"/>
    <w:uiPriority w:val="0"/>
    <w:pPr>
      <w:keepNext/>
      <w:keepLines/>
      <w:spacing w:before="240" w:beforeAutospacing="0" w:after="60" w:afterAutospacing="0" w:line="240" w:lineRule="auto"/>
      <w:outlineLvl w:val="0"/>
    </w:pPr>
    <w:rPr>
      <w:rFonts w:ascii="Arial" w:hAnsi="Arial"/>
      <w:b/>
      <w:kern w:val="44"/>
      <w:sz w:val="32"/>
    </w:rPr>
  </w:style>
  <w:style w:type="paragraph" w:styleId="3">
    <w:name w:val="heading 2"/>
    <w:basedOn w:val="1"/>
    <w:next w:val="1"/>
    <w:uiPriority w:val="0"/>
    <w:pPr>
      <w:keepNext/>
      <w:keepLines/>
      <w:spacing w:before="240" w:beforeAutospacing="0" w:after="60" w:afterAutospacing="0" w:line="240" w:lineRule="auto"/>
      <w:outlineLvl w:val="1"/>
    </w:pPr>
    <w:rPr>
      <w:rFonts w:ascii="Arial" w:hAnsi="Arial"/>
      <w:b/>
      <w:i/>
      <w:sz w:val="28"/>
    </w:rPr>
  </w:style>
  <w:style w:type="paragraph" w:styleId="4">
    <w:name w:val="heading 3"/>
    <w:basedOn w:val="1"/>
    <w:next w:val="1"/>
    <w:uiPriority w:val="0"/>
    <w:pPr>
      <w:keepNext/>
      <w:keepLines/>
      <w:spacing w:before="240" w:beforeAutospacing="0" w:after="60" w:afterAutospacing="0" w:line="240" w:lineRule="auto"/>
      <w:outlineLvl w:val="2"/>
    </w:pPr>
    <w:rPr>
      <w:rFonts w:ascii="Arial" w:hAnsi="Arial"/>
      <w:b/>
      <w:sz w:val="26"/>
    </w:rPr>
  </w:style>
  <w:style w:type="paragraph" w:styleId="5">
    <w:name w:val="heading 4"/>
    <w:basedOn w:val="1"/>
    <w:next w:val="1"/>
    <w:uiPriority w:val="0"/>
    <w:pPr>
      <w:keepNext/>
      <w:keepLines/>
      <w:spacing w:before="240" w:beforeAutospacing="0" w:after="60" w:afterAutospacing="0" w:line="240" w:lineRule="auto"/>
      <w:outlineLvl w:val="3"/>
    </w:pPr>
    <w:rPr>
      <w:rFonts w:ascii="Times New Roman" w:hAnsi="Times New Roman"/>
      <w:b/>
      <w:sz w:val="28"/>
    </w:rPr>
  </w:style>
  <w:style w:type="paragraph" w:styleId="6">
    <w:name w:val="heading 5"/>
    <w:basedOn w:val="1"/>
    <w:next w:val="1"/>
    <w:uiPriority w:val="0"/>
    <w:pPr>
      <w:keepNext/>
      <w:keepLines/>
      <w:spacing w:before="240" w:beforeAutospacing="0" w:after="60" w:afterAutospacing="0" w:line="240" w:lineRule="auto"/>
      <w:outlineLvl w:val="4"/>
    </w:pPr>
    <w:rPr>
      <w:b/>
      <w:i/>
      <w:sz w:val="26"/>
    </w:rPr>
  </w:style>
  <w:style w:type="paragraph" w:styleId="7">
    <w:name w:val="heading 6"/>
    <w:basedOn w:val="1"/>
    <w:next w:val="1"/>
    <w:uiPriority w:val="0"/>
    <w:pPr>
      <w:keepNext/>
      <w:keepLines/>
      <w:spacing w:before="240" w:beforeAutospacing="0" w:after="60" w:afterAutospacing="0" w:line="240" w:lineRule="auto"/>
      <w:outlineLvl w:val="5"/>
    </w:pPr>
    <w:rPr>
      <w:rFonts w:ascii="Times New Roman" w:hAnsi="Times New Roman"/>
      <w:b/>
      <w:sz w:val="22"/>
    </w:rPr>
  </w:style>
  <w:style w:type="paragraph" w:styleId="8">
    <w:name w:val="heading 7"/>
    <w:basedOn w:val="1"/>
    <w:next w:val="1"/>
    <w:uiPriority w:val="0"/>
    <w:pPr>
      <w:keepNext/>
      <w:keepLines/>
      <w:spacing w:before="240" w:beforeAutospacing="0" w:after="60" w:afterAutospacing="0" w:line="240" w:lineRule="auto"/>
      <w:outlineLvl w:val="6"/>
    </w:pPr>
    <w:rPr>
      <w:sz w:val="24"/>
    </w:rPr>
  </w:style>
  <w:style w:type="paragraph" w:styleId="9">
    <w:name w:val="heading 8"/>
    <w:basedOn w:val="1"/>
    <w:next w:val="1"/>
    <w:uiPriority w:val="0"/>
    <w:pPr>
      <w:keepNext/>
      <w:keepLines/>
      <w:spacing w:before="240" w:beforeAutospacing="0" w:after="60" w:afterAutospacing="0" w:line="240" w:lineRule="auto"/>
      <w:outlineLvl w:val="7"/>
    </w:pPr>
    <w:rPr>
      <w:rFonts w:ascii="Times New Roman" w:hAnsi="Times New Roman"/>
      <w:i/>
      <w:sz w:val="24"/>
    </w:rPr>
  </w:style>
  <w:style w:type="paragraph" w:styleId="10">
    <w:name w:val="heading 9"/>
    <w:basedOn w:val="1"/>
    <w:next w:val="1"/>
    <w:uiPriority w:val="0"/>
    <w:pPr>
      <w:keepNext/>
      <w:keepLines/>
      <w:spacing w:before="240" w:beforeAutospacing="0" w:after="60" w:afterAutospacing="0" w:line="240" w:lineRule="auto"/>
      <w:outlineLvl w:val="8"/>
    </w:pPr>
    <w:rPr>
      <w:rFonts w:ascii="Arial" w:hAnsi="Arial"/>
      <w:sz w:val="22"/>
    </w:rPr>
  </w:style>
  <w:style w:type="character" w:default="1" w:styleId="13">
    <w:name w:val="Default Paragraph Font"/>
    <w:uiPriority w:val="0"/>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Kingsoft Office_9.1.0.4560_{F1E327BC-269C-435d-A152-05C5408002CA}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2010-05-06T13:11:00Z</dcterms:created>
  <dc:creator>LUCI</dc:creator>
  <cp:lastModifiedBy>LUCI</cp:lastModifiedBy>
  <cp:lastPrinted>1899-12-30T00:00:00Z</cp:lastPrinted>
  <dcterms:modified xsi:type="dcterms:W3CDTF">2022-11-04T12:31:33Z</dcterms:modified>
  <dc:title>ROMANIA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