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t>ROM</w:t>
      </w:r>
      <w:r>
        <w:rPr>
          <w:rFonts w:hint="default" w:ascii="Times New Roman" w:hAnsi="Times New Roman" w:cs="Times New Roman"/>
          <w:sz w:val="28"/>
          <w:szCs w:val="28"/>
          <w:lang w:val="ro-RO"/>
        </w:rPr>
        <w:t>Â</w:t>
      </w:r>
      <w:r>
        <w:rPr>
          <w:rFonts w:hint="default" w:ascii="Times New Roman" w:hAnsi="Times New Roman" w:cs="Times New Roman"/>
          <w:sz w:val="28"/>
          <w:szCs w:val="28"/>
          <w:lang w:val="en-GB"/>
        </w:rPr>
        <w:t>NIA</w:t>
      </w:r>
    </w:p>
    <w:p>
      <w:pPr>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t>PRIM</w:t>
      </w:r>
      <w:r>
        <w:rPr>
          <w:rFonts w:hint="default" w:ascii="Times New Roman" w:hAnsi="Times New Roman" w:cs="Times New Roman"/>
          <w:sz w:val="28"/>
          <w:szCs w:val="28"/>
          <w:lang w:val="ro-RO"/>
        </w:rPr>
        <w:t>Ă</w:t>
      </w:r>
      <w:r>
        <w:rPr>
          <w:rFonts w:hint="default" w:ascii="Times New Roman" w:hAnsi="Times New Roman" w:cs="Times New Roman"/>
          <w:sz w:val="28"/>
          <w:szCs w:val="28"/>
          <w:lang w:val="en-GB"/>
        </w:rPr>
        <w:t>RIA DUMBR</w:t>
      </w:r>
      <w:r>
        <w:rPr>
          <w:rFonts w:hint="default" w:ascii="Times New Roman" w:hAnsi="Times New Roman" w:cs="Times New Roman"/>
          <w:sz w:val="28"/>
          <w:szCs w:val="28"/>
          <w:lang w:val="ro-RO"/>
        </w:rPr>
        <w:t>Ă</w:t>
      </w:r>
      <w:r>
        <w:rPr>
          <w:rFonts w:hint="default" w:ascii="Times New Roman" w:hAnsi="Times New Roman" w:cs="Times New Roman"/>
          <w:sz w:val="28"/>
          <w:szCs w:val="28"/>
          <w:lang w:val="en-GB"/>
        </w:rPr>
        <w:t>VENI</w:t>
      </w:r>
    </w:p>
    <w:p>
      <w:pPr>
        <w:jc w:val="both"/>
        <w:rPr>
          <w:rFonts w:hint="default" w:ascii="Times New Roman" w:hAnsi="Times New Roman" w:cs="Times New Roman"/>
          <w:sz w:val="28"/>
          <w:szCs w:val="28"/>
          <w:lang w:val="en-GB"/>
        </w:rPr>
      </w:pPr>
      <w:r>
        <w:rPr>
          <w:rFonts w:hint="default" w:ascii="Times New Roman" w:hAnsi="Times New Roman" w:cs="Times New Roman"/>
          <w:sz w:val="28"/>
          <w:szCs w:val="28"/>
          <w:lang w:val="en-GB"/>
        </w:rPr>
        <w:t>JUDETUL CONSTAN</w:t>
      </w:r>
      <w:r>
        <w:rPr>
          <w:rFonts w:hint="default" w:ascii="Times New Roman" w:hAnsi="Times New Roman" w:cs="Times New Roman"/>
          <w:sz w:val="28"/>
          <w:szCs w:val="28"/>
          <w:lang w:val="ro-RO"/>
        </w:rPr>
        <w:t>Ț</w:t>
      </w:r>
      <w:r>
        <w:rPr>
          <w:rFonts w:hint="default" w:ascii="Times New Roman" w:hAnsi="Times New Roman" w:cs="Times New Roman"/>
          <w:sz w:val="28"/>
          <w:szCs w:val="28"/>
          <w:lang w:val="en-GB"/>
        </w:rPr>
        <w:t>A</w:t>
      </w:r>
    </w:p>
    <w:p>
      <w:pPr>
        <w:jc w:val="both"/>
        <w:rPr>
          <w:rFonts w:hint="default" w:ascii="Times New Roman" w:hAnsi="Times New Roman" w:cs="Times New Roman"/>
          <w:sz w:val="28"/>
          <w:szCs w:val="28"/>
          <w:lang w:val="en-GB"/>
        </w:rPr>
      </w:pPr>
    </w:p>
    <w:p>
      <w:pPr>
        <w:jc w:val="both"/>
        <w:rPr>
          <w:rFonts w:hint="default" w:ascii="Times New Roman" w:hAnsi="Times New Roman" w:cs="Times New Roman"/>
          <w:sz w:val="28"/>
          <w:szCs w:val="28"/>
          <w:lang w:val="ro-RO"/>
        </w:rPr>
      </w:pPr>
      <w:r>
        <w:rPr>
          <w:rFonts w:hint="default" w:ascii="Times New Roman" w:hAnsi="Times New Roman" w:cs="Times New Roman"/>
          <w:sz w:val="28"/>
          <w:szCs w:val="28"/>
          <w:lang w:val="en-GB"/>
        </w:rPr>
        <w:t>Nr.</w:t>
      </w:r>
      <w:r>
        <w:rPr>
          <w:rFonts w:hint="default" w:ascii="Times New Roman" w:hAnsi="Times New Roman" w:cs="Times New Roman"/>
          <w:sz w:val="28"/>
          <w:szCs w:val="28"/>
          <w:lang w:val="ro-RO"/>
        </w:rPr>
        <w:t xml:space="preserve"> </w:t>
      </w:r>
      <w:r>
        <w:rPr>
          <w:rFonts w:hint="default" w:ascii="Times New Roman" w:hAnsi="Times New Roman" w:cs="Times New Roman"/>
          <w:sz w:val="28"/>
          <w:szCs w:val="28"/>
          <w:lang w:val="en-GB"/>
        </w:rPr>
        <w:t>2246</w:t>
      </w:r>
      <w:r>
        <w:rPr>
          <w:rFonts w:hint="default" w:ascii="Times New Roman" w:hAnsi="Times New Roman" w:cs="Times New Roman"/>
          <w:sz w:val="28"/>
          <w:szCs w:val="28"/>
          <w:lang w:val="ro-RO"/>
        </w:rPr>
        <w:t>/0</w:t>
      </w:r>
      <w:r>
        <w:rPr>
          <w:rFonts w:hint="default" w:ascii="Times New Roman" w:hAnsi="Times New Roman" w:cs="Times New Roman"/>
          <w:sz w:val="28"/>
          <w:szCs w:val="28"/>
          <w:lang w:val="en-GB"/>
        </w:rPr>
        <w:t>4</w:t>
      </w:r>
      <w:r>
        <w:rPr>
          <w:rFonts w:hint="default" w:ascii="Times New Roman" w:hAnsi="Times New Roman" w:cs="Times New Roman"/>
          <w:sz w:val="28"/>
          <w:szCs w:val="28"/>
          <w:lang w:val="ro-RO"/>
        </w:rPr>
        <w:t>.</w:t>
      </w:r>
      <w:r>
        <w:rPr>
          <w:rFonts w:hint="default" w:ascii="Times New Roman" w:hAnsi="Times New Roman" w:cs="Times New Roman"/>
          <w:sz w:val="28"/>
          <w:szCs w:val="28"/>
          <w:lang w:val="en-GB"/>
        </w:rPr>
        <w:t>11</w:t>
      </w:r>
      <w:r>
        <w:rPr>
          <w:rFonts w:hint="default" w:ascii="Times New Roman" w:hAnsi="Times New Roman" w:cs="Times New Roman"/>
          <w:sz w:val="28"/>
          <w:szCs w:val="28"/>
          <w:lang w:val="ro-RO"/>
        </w:rPr>
        <w:t>.2022</w:t>
      </w:r>
      <w:bookmarkStart w:id="0" w:name="_GoBack"/>
      <w:bookmarkEnd w:id="0"/>
    </w:p>
    <w:p>
      <w:pPr>
        <w:jc w:val="both"/>
        <w:rPr>
          <w:rFonts w:hint="default" w:ascii="Times New Roman" w:hAnsi="Times New Roman" w:cs="Times New Roman"/>
          <w:sz w:val="28"/>
          <w:szCs w:val="28"/>
          <w:lang w:val="en-GB"/>
        </w:rPr>
      </w:pPr>
    </w:p>
    <w:p>
      <w:pPr>
        <w:jc w:val="both"/>
        <w:rPr>
          <w:rFonts w:hint="default" w:ascii="Times New Roman" w:hAnsi="Times New Roman" w:cs="Times New Roman"/>
          <w:sz w:val="28"/>
          <w:szCs w:val="28"/>
          <w:lang w:val="ro-RO"/>
        </w:rPr>
      </w:pPr>
    </w:p>
    <w:p>
      <w:pPr>
        <w:jc w:val="both"/>
        <w:rPr>
          <w:rFonts w:hint="default" w:ascii="Times New Roman" w:hAnsi="Times New Roman" w:cs="Times New Roman"/>
          <w:sz w:val="28"/>
          <w:szCs w:val="28"/>
          <w:lang w:val="en-GB"/>
        </w:rPr>
      </w:pPr>
    </w:p>
    <w:p>
      <w:pPr>
        <w:jc w:val="center"/>
        <w:rPr>
          <w:rFonts w:hint="default" w:ascii="Times New Roman" w:hAnsi="Times New Roman" w:cs="Times New Roman"/>
          <w:sz w:val="32"/>
          <w:szCs w:val="32"/>
          <w:lang w:val="en-GB"/>
        </w:rPr>
      </w:pPr>
      <w:r>
        <w:rPr>
          <w:rFonts w:hint="default" w:ascii="Times New Roman" w:hAnsi="Times New Roman" w:cs="Times New Roman"/>
          <w:sz w:val="32"/>
          <w:szCs w:val="32"/>
          <w:lang w:val="en-GB"/>
        </w:rPr>
        <w:t>Raport de specialitate</w:t>
      </w:r>
    </w:p>
    <w:p>
      <w:pPr>
        <w:pStyle w:val="2"/>
        <w:keepNext w:val="0"/>
        <w:keepLines w:val="0"/>
        <w:widowControl/>
        <w:suppressLineNumbers w:val="0"/>
        <w:shd w:val="clear" w:fill="FFFFFF"/>
        <w:spacing w:line="20" w:lineRule="atLeast"/>
        <w:ind w:left="0" w:firstLine="0"/>
        <w:jc w:val="both"/>
        <w:rPr>
          <w:rFonts w:hint="default" w:ascii="Times New Roman" w:hAnsi="Times New Roman" w:eastAsia="sans-serif" w:cs="Times New Roman"/>
          <w:b w:val="0"/>
          <w:bCs w:val="0"/>
          <w:i w:val="0"/>
          <w:iCs w:val="0"/>
          <w:caps w:val="0"/>
          <w:color w:val="auto"/>
          <w:spacing w:val="0"/>
          <w:sz w:val="28"/>
          <w:szCs w:val="28"/>
        </w:rPr>
      </w:pPr>
      <w:r>
        <w:rPr>
          <w:rFonts w:hint="default" w:ascii="Times New Roman" w:hAnsi="Times New Roman" w:cs="Times New Roman"/>
          <w:b w:val="0"/>
          <w:bCs w:val="0"/>
          <w:sz w:val="28"/>
          <w:szCs w:val="28"/>
          <w:lang w:val="en-GB"/>
        </w:rPr>
        <w:t>la proiectul de hot</w:t>
      </w:r>
      <w:r>
        <w:rPr>
          <w:rFonts w:hint="default" w:ascii="Times New Roman" w:hAnsi="Times New Roman" w:cs="Times New Roman"/>
          <w:b w:val="0"/>
          <w:bCs w:val="0"/>
          <w:sz w:val="28"/>
          <w:szCs w:val="28"/>
          <w:lang w:val="ro-RO"/>
        </w:rPr>
        <w:t>ă</w:t>
      </w:r>
      <w:r>
        <w:rPr>
          <w:rFonts w:hint="default" w:ascii="Times New Roman" w:hAnsi="Times New Roman" w:cs="Times New Roman"/>
          <w:b w:val="0"/>
          <w:bCs w:val="0"/>
          <w:sz w:val="28"/>
          <w:szCs w:val="28"/>
          <w:lang w:val="en-GB"/>
        </w:rPr>
        <w:t>r</w:t>
      </w:r>
      <w:r>
        <w:rPr>
          <w:rFonts w:hint="default" w:ascii="Times New Roman" w:hAnsi="Times New Roman" w:cs="Times New Roman"/>
          <w:b w:val="0"/>
          <w:bCs w:val="0"/>
          <w:sz w:val="28"/>
          <w:szCs w:val="28"/>
          <w:lang w:val="ro-RO"/>
        </w:rPr>
        <w:t>â</w:t>
      </w:r>
      <w:r>
        <w:rPr>
          <w:rFonts w:hint="default" w:ascii="Times New Roman" w:hAnsi="Times New Roman" w:cs="Times New Roman"/>
          <w:b w:val="0"/>
          <w:bCs w:val="0"/>
          <w:sz w:val="28"/>
          <w:szCs w:val="28"/>
          <w:lang w:val="en-GB"/>
        </w:rPr>
        <w:t xml:space="preserve">re privind </w:t>
      </w:r>
      <w:r>
        <w:rPr>
          <w:rFonts w:hint="default" w:ascii="Times New Roman" w:hAnsi="Times New Roman" w:eastAsia="sans-serif" w:cs="Times New Roman"/>
          <w:b w:val="0"/>
          <w:bCs w:val="0"/>
          <w:i w:val="0"/>
          <w:iCs w:val="0"/>
          <w:caps w:val="0"/>
          <w:color w:val="auto"/>
          <w:spacing w:val="0"/>
          <w:sz w:val="28"/>
          <w:szCs w:val="28"/>
          <w:shd w:val="clear" w:fill="FFFFFF"/>
        </w:rPr>
        <w:t>aprobarea depunerii cererii de finanțare pentru proiectul “INFIINTARE CENTRU DE COLECTARE PRIN APORT VOLUNTAR IN COMUNA DUMBRAVENI, JUDETUL CONSTANTA”</w:t>
      </w:r>
    </w:p>
    <w:p>
      <w:pPr>
        <w:jc w:val="both"/>
        <w:rPr>
          <w:rFonts w:hint="default" w:ascii="Times New Roman" w:hAnsi="Times New Roman" w:cs="Times New Roman"/>
          <w:sz w:val="28"/>
          <w:szCs w:val="28"/>
          <w:lang w:val="en-GB"/>
        </w:rPr>
      </w:pPr>
    </w:p>
    <w:p>
      <w:pPr>
        <w:jc w:val="both"/>
        <w:rPr>
          <w:rFonts w:hint="default" w:ascii="Times New Roman" w:hAnsi="Times New Roman" w:cs="Times New Roman"/>
          <w:sz w:val="32"/>
          <w:szCs w:val="32"/>
          <w:lang w:val="en-GB"/>
        </w:rPr>
      </w:pPr>
    </w:p>
    <w:p>
      <w:pPr>
        <w:jc w:val="both"/>
        <w:rPr>
          <w:rFonts w:hint="default" w:ascii="Times New Roman" w:hAnsi="Times New Roman" w:eastAsia="SimSun" w:cs="Times New Roman"/>
          <w:sz w:val="24"/>
          <w:szCs w:val="24"/>
        </w:rPr>
      </w:pPr>
    </w:p>
    <w:p>
      <w:pPr>
        <w:ind w:firstLine="720" w:firstLineChars="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În conformitate cu legislația privind protecția mediului</w:t>
      </w:r>
      <w:r>
        <w:rPr>
          <w:rFonts w:hint="default" w:ascii="Times New Roman" w:hAnsi="Times New Roman" w:eastAsia="SimSun" w:cs="Times New Roman"/>
          <w:color w:val="auto"/>
          <w:sz w:val="24"/>
          <w:szCs w:val="24"/>
          <w:lang w:val="en-GB"/>
        </w:rPr>
        <w:t xml:space="preserve"> si a ordinului Ministerului Sanatatii</w:t>
      </w:r>
      <w:r>
        <w:rPr>
          <w:rFonts w:hint="default" w:ascii="Times New Roman" w:hAnsi="Times New Roman" w:eastAsia="SimSun" w:cs="Times New Roman"/>
          <w:color w:val="auto"/>
          <w:sz w:val="24"/>
          <w:szCs w:val="24"/>
        </w:rPr>
        <w:t>, autorităților locale le revin o serie de atribuții în ceea ce privește stabilirea măsurilor de conformare privind protecția mediului și a sănătății populației, prin prevenirea sau reducerea efectelor adverse determinate de generarea și gestionarea deșeurilor și prin reducerea efectelor generale ale folosirii resurselor și creșterea eficienței folosirii acestora.</w:t>
      </w:r>
    </w:p>
    <w:p>
      <w:pPr>
        <w:ind w:firstLine="720" w:firstLineChars="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În gospodăriile populației se produc deșeuri, pe care, de multe ori, în lipsa unor spații proprii din gospodărie, cetățenii au tendința să îl abandoneze în mod necontrolat în locuri inadecvate de pe domeniul public sau privat al comunei, în lipsa unor spații temporare destinate colectării separate a deșeurilor rezultate din gospodăriile populației.</w:t>
      </w:r>
    </w:p>
    <w:p>
      <w:pPr>
        <w:ind w:firstLine="720" w:firstLineChars="0"/>
        <w:jc w:val="both"/>
        <w:rPr>
          <w:rFonts w:hint="default" w:ascii="Times New Roman" w:hAnsi="Times New Roman" w:eastAsia="SimSun" w:cs="Times New Roman"/>
          <w:color w:val="auto"/>
          <w:sz w:val="24"/>
          <w:szCs w:val="24"/>
          <w:lang w:val="en-GB"/>
        </w:rPr>
      </w:pPr>
      <w:r>
        <w:rPr>
          <w:rFonts w:hint="default" w:ascii="Times New Roman" w:hAnsi="Times New Roman" w:eastAsia="SimSun" w:cs="Times New Roman"/>
          <w:color w:val="auto"/>
          <w:sz w:val="24"/>
          <w:szCs w:val="24"/>
        </w:rPr>
        <w:t>Pentru a încerca stoparea acestui fenomen, este oportună stabilirea unei suprafețe de teren pentru depozitarea provizorie a deșeurilor, în vederea valorificării ulterioare a acestora.</w:t>
      </w:r>
      <w:r>
        <w:rPr>
          <w:rFonts w:hint="default" w:ascii="Times New Roman" w:hAnsi="Times New Roman" w:eastAsia="SimSun" w:cs="Times New Roman"/>
          <w:color w:val="auto"/>
          <w:sz w:val="24"/>
          <w:szCs w:val="24"/>
          <w:lang w:val="en-GB"/>
        </w:rPr>
        <w:t xml:space="preserve"> Terenul propus pentru infiintarea centrului de colectare este situat la periferia satului Dumbraveni si este identificat: A 934/1-1ha, IE 100775, teren care respecta prevederile Ordinului 119/2014.</w:t>
      </w:r>
    </w:p>
    <w:p>
      <w:pPr>
        <w:ind w:firstLine="720" w:firstLineChars="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Având în vedere,</w:t>
      </w:r>
      <w:r>
        <w:rPr>
          <w:rFonts w:hint="default" w:ascii="Times New Roman" w:hAnsi="Times New Roman" w:eastAsia="SimSun" w:cs="Times New Roman"/>
          <w:color w:val="auto"/>
          <w:sz w:val="24"/>
          <w:szCs w:val="24"/>
          <w:lang w:val="en-GB"/>
        </w:rPr>
        <w:t xml:space="preserve"> si </w:t>
      </w:r>
      <w:r>
        <w:rPr>
          <w:rFonts w:hint="default" w:ascii="Times New Roman" w:hAnsi="Times New Roman" w:eastAsia="SimSun" w:cs="Times New Roman"/>
          <w:color w:val="auto"/>
          <w:sz w:val="24"/>
          <w:szCs w:val="24"/>
        </w:rPr>
        <w:t xml:space="preserve"> prevederile din Legea nr. 211/2011 privind regimul deșeurilor, cu modificările si completările ulterioare:</w:t>
      </w:r>
    </w:p>
    <w:p>
      <w:pPr>
        <w:ind w:firstLine="720" w:firstLineChars="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art.17 alin.(3) Titularii pe numele cărora au fost emise autorizaţii de construire şi/sau desfiinţări conform Legii nr. 50/1991 privind autorizarea executării lucrărilor de construcţii, republicată, cu modificările şi completările ulterioare, au obligaţia să gestioneze deşeurile din construcţii şi desfiinţări, astfel încât să atingă progresiv, până la data de 31 decembrie 2020, potrivit anexei nr. 6, un nivel de pregătire pentru reutilizare, reciclare şi alte operaţiuni de valorificare materială, inclusiv operaţiuni de rambleiere care utilizează deşeuri pentru a înlocui alte materiale, de minimum 70% din masa cantităţilor de deşeuri nepericuloase provenite din activităţi de construcţie şi desfiinţări, cu excepţia materialelor geologice naturale definite la categoria 17 05 04 din anexa la Decizia Comisiei 2014/955/UE.;</w:t>
      </w:r>
    </w:p>
    <w:p>
      <w:pPr>
        <w:keepNext w:val="0"/>
        <w:keepLines w:val="0"/>
        <w:widowControl/>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art.59 alin.(1) pct.A şi alin.(2) - (1) Autorităţile administraţiei publice locale, inclusiv a municipiului Bucureşti, au următoarele obligaţii: </w:t>
      </w:r>
    </w:p>
    <w:p>
      <w:pPr>
        <w:keepNext w:val="0"/>
        <w:keepLines w:val="0"/>
        <w:widowControl/>
        <w:numPr>
          <w:ilvl w:val="0"/>
          <w:numId w:val="1"/>
        </w:numPr>
        <w:suppressLineNumbers w:val="0"/>
        <w:ind w:left="420" w:leftChars="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la nivel de comune, oraşe şi municipii, inclusiv la nivelul municipiului</w:t>
      </w:r>
      <w:r>
        <w:rPr>
          <w:rFonts w:hint="default" w:ascii="Times New Roman" w:hAnsi="Times New Roman" w:eastAsia="SimSun" w:cs="Times New Roman"/>
          <w:color w:val="auto"/>
          <w:sz w:val="24"/>
          <w:szCs w:val="24"/>
          <w:lang w:val="en-GB"/>
        </w:rPr>
        <w:t xml:space="preserve"> </w:t>
      </w:r>
      <w:r>
        <w:rPr>
          <w:rFonts w:hint="default" w:ascii="Times New Roman" w:hAnsi="Times New Roman" w:eastAsia="SimSun" w:cs="Times New Roman"/>
          <w:color w:val="auto"/>
          <w:sz w:val="24"/>
          <w:szCs w:val="24"/>
        </w:rPr>
        <w:t xml:space="preserve">Bucureşti: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a) asigură implementarea la nivel local a obligaţiilor privind gestionarea deşeurilor asumate prin Tratatul de aderare a României la Uniunea Europeană;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b) urmăresc şi asigură îndeplinirea prevederilor din PJGD;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c) elaborează strategii şi programe proprii pentru gestionarea deşeurilor;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d) hotărăsc asocierea sau cooperarea cu alte autorităţi ale administraţiei publice locale, cu persoane juridice române sau străine, cu organizaţii neguvernamentale şi cu alţi parteneri sociali pentru realizarea unor lucrări de interes public privind gestiunea deşeurilor, în condiţiile prevăzute de lege;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e) asigură şi răspund pentru colectarea separată, transportul, neutralizarea, valorificarea şi eliminarea finală a deşeurilor, inclusiv a deşeurilor menajere periculoase, potrivit prevederilor legale în vigoare;</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f) asigură spaţiile necesare pentru colectarea separată a deşeurilor, dotarea acestora cu containere specifice fiecărui tip de deşeu şi dezvoltă în mod corespunzător centrele înfiinţate potrivit prevederilor Ordonanţei de urgenţă a Guvernului nr. 5/2015 pentru a oferi populaţiei posibilitatea de a se debarasa, fără plată, de deşeuri de hârtie şi carton, sticlă, metal, materiale plastice, lemn, textile, ambalaje, deşeuri de echipamente electrice şi electronice, deşeuri de baterii şi acumulatori şi deşeuri voluminoase, inclusiv saltele şi mobilă;</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g) asigură informarea locuitorilor prin mijloace adecvate şi prin postare pe siteul propriu, asupra sistemului de gestionare a deşeurilor din cadrul localităţilor, inclusiv cu privire la centrele prevăzute la lit. f);</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h) acţionează pentru refacerea şi protecţia mediului; </w:t>
      </w:r>
    </w:p>
    <w:p>
      <w:pPr>
        <w:keepNext w:val="0"/>
        <w:keepLines w:val="0"/>
        <w:widowControl/>
        <w:numPr>
          <w:numId w:val="0"/>
        </w:numPr>
        <w:suppressLineNumbers w:val="0"/>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i) asigură şi răspund pentru monitorizarea activităţilor legate de gestionarea deşeurilor rezultate din activitatea medicală</w:t>
      </w:r>
    </w:p>
    <w:p>
      <w:pPr>
        <w:keepNext w:val="0"/>
        <w:keepLines w:val="0"/>
        <w:widowControl/>
        <w:numPr>
          <w:numId w:val="0"/>
        </w:numPr>
        <w:suppressLineNumbers w:val="0"/>
        <w:jc w:val="both"/>
        <w:rPr>
          <w:rFonts w:hint="default" w:ascii="Times New Roman" w:hAnsi="Times New Roman" w:eastAsia="SimSun" w:cs="Times New Roman"/>
          <w:color w:val="auto"/>
          <w:sz w:val="24"/>
          <w:szCs w:val="24"/>
          <w:lang w:val="en-US" w:eastAsia="zh-CN"/>
        </w:rPr>
      </w:pPr>
      <w:r>
        <w:rPr>
          <w:rFonts w:hint="default" w:ascii="Times New Roman" w:hAnsi="Times New Roman" w:eastAsia="SimSun" w:cs="Times New Roman"/>
          <w:color w:val="auto"/>
          <w:sz w:val="24"/>
          <w:szCs w:val="24"/>
        </w:rPr>
        <w:t xml:space="preserve">(2) Autorităţile administraţiei publice locale a unităţilor administrativteritoriale şi a municipiului Bucureşti aprobă, prin hotărâri ale consiliului local/judeţean/general, măsurile necesare pentru interzicerea abandonării, aruncării sau gestionării necontrolate a deşeurilor. </w:t>
      </w:r>
    </w:p>
    <w:p>
      <w:pPr>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pct. 9^1 şi pct. 17^2 din cadrul Anexei nr.1 - 9^1. deşeuri din construcţii şi desfiinţări </w:t>
      </w:r>
    </w:p>
    <w:p>
      <w:pPr>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deşeuri provenite din activităţi de construcţie şi desfiinţare 17^2. rambleiere - operaţiune de valorificare în cadrul căreia se folosesc deşeuri nepericuloase adecvate în scopuri de refacere în zonele în care s-au efectuat excavări sau în scopuri de amenajare a teritoriului.</w:t>
      </w:r>
    </w:p>
    <w:p>
      <w:pPr>
        <w:jc w:val="both"/>
        <w:rPr>
          <w:rFonts w:hint="default" w:ascii="Times New Roman" w:hAnsi="Times New Roman" w:eastAsia="SimSun" w:cs="Times New Roman"/>
          <w:color w:val="auto"/>
          <w:sz w:val="24"/>
          <w:szCs w:val="24"/>
        </w:rPr>
      </w:pPr>
      <w:r>
        <w:rPr>
          <w:rFonts w:hint="default" w:ascii="Times New Roman" w:hAnsi="Times New Roman" w:eastAsia="SimSun" w:cs="Times New Roman"/>
          <w:color w:val="auto"/>
          <w:sz w:val="24"/>
          <w:szCs w:val="24"/>
        </w:rPr>
        <w:t xml:space="preserve"> </w:t>
      </w:r>
      <w:r>
        <w:rPr>
          <w:rFonts w:hint="default" w:ascii="Times New Roman" w:hAnsi="Times New Roman" w:eastAsia="SimSun" w:cs="Times New Roman"/>
          <w:color w:val="auto"/>
          <w:sz w:val="24"/>
          <w:szCs w:val="24"/>
          <w:lang w:val="en-GB"/>
        </w:rPr>
        <w:tab/>
      </w:r>
      <w:r>
        <w:rPr>
          <w:rFonts w:hint="default" w:ascii="Times New Roman" w:hAnsi="Times New Roman" w:eastAsia="SimSun" w:cs="Times New Roman"/>
          <w:color w:val="auto"/>
          <w:sz w:val="24"/>
          <w:szCs w:val="24"/>
        </w:rPr>
        <w:t xml:space="preserve">Deşeurile trebuie să înlocuiască materiale care nu sunt deşeuri, să fie adecvate pentru scopurile menţionate mai sus şi să se limiteze la cantitatea strict necesară pentru atingerea acestor scopuri .”  </w:t>
      </w:r>
    </w:p>
    <w:p>
      <w:pPr>
        <w:ind w:firstLine="720" w:firstLineChars="0"/>
        <w:jc w:val="both"/>
        <w:rPr>
          <w:rFonts w:hint="default" w:ascii="Times New Roman" w:hAnsi="Times New Roman" w:cs="Times New Roman"/>
          <w:color w:val="auto"/>
          <w:sz w:val="24"/>
          <w:szCs w:val="24"/>
        </w:rPr>
      </w:pPr>
      <w:r>
        <w:rPr>
          <w:rFonts w:hint="default" w:ascii="Times New Roman" w:hAnsi="Times New Roman" w:eastAsia="SimSun" w:cs="Times New Roman"/>
          <w:color w:val="auto"/>
          <w:sz w:val="24"/>
          <w:szCs w:val="24"/>
        </w:rPr>
        <w:t>Proiectul de hotărâre îndeplinește condițiile legale, şi ţinând cont de faptul că protecţia mediului înconjurător este o prioritate a administraţiei locale precum şi din necesitatea alinierii la legislaţia românească în vigoare dar şi normelor europene în materie, vă propun spre dezbatere şi aprobare proiectul de hotărâre în forma propusă.</w:t>
      </w:r>
    </w:p>
    <w:p>
      <w:pPr>
        <w:numPr>
          <w:ilvl w:val="0"/>
          <w:numId w:val="0"/>
        </w:numPr>
        <w:spacing w:after="160" w:line="240" w:lineRule="auto"/>
        <w:jc w:val="both"/>
        <w:rPr>
          <w:rFonts w:hint="default" w:ascii="Times New Roman" w:hAnsi="Times New Roman" w:eastAsia="Calibri" w:cs="Times New Roman"/>
          <w:b w:val="0"/>
          <w:bCs/>
          <w:color w:val="auto"/>
          <w:sz w:val="24"/>
          <w:szCs w:val="24"/>
          <w:lang w:val="en-GB" w:eastAsia="en-US"/>
        </w:rPr>
      </w:pPr>
    </w:p>
    <w:p>
      <w:pPr>
        <w:jc w:val="right"/>
        <w:rPr>
          <w:rFonts w:hint="default" w:ascii="Times New Roman" w:hAnsi="Times New Roman" w:cs="Times New Roman"/>
          <w:sz w:val="24"/>
          <w:szCs w:val="24"/>
          <w:lang w:val="ro-RO"/>
        </w:rPr>
      </w:pPr>
      <w:r>
        <w:rPr>
          <w:rFonts w:hint="default" w:ascii="Times New Roman" w:hAnsi="Times New Roman" w:cs="Times New Roman"/>
          <w:sz w:val="24"/>
          <w:szCs w:val="24"/>
          <w:lang w:val="ro-RO"/>
        </w:rPr>
        <w:t>Întocmit,</w:t>
      </w:r>
    </w:p>
    <w:p>
      <w:pPr>
        <w:jc w:val="right"/>
        <w:rPr>
          <w:rFonts w:hint="default" w:ascii="Times New Roman" w:hAnsi="Times New Roman" w:cs="Times New Roman"/>
          <w:sz w:val="24"/>
          <w:szCs w:val="24"/>
          <w:lang w:val="ro-RO"/>
        </w:rPr>
      </w:pPr>
      <w:r>
        <w:rPr>
          <w:rFonts w:hint="default" w:ascii="Times New Roman" w:hAnsi="Times New Roman" w:cs="Times New Roman"/>
          <w:sz w:val="24"/>
          <w:szCs w:val="24"/>
          <w:lang w:val="ro-RO"/>
        </w:rPr>
        <w:t>Roșca Nina</w:t>
      </w:r>
    </w:p>
    <w:p>
      <w:pPr>
        <w:jc w:val="both"/>
      </w:pPr>
    </w:p>
    <w:p>
      <w:pPr>
        <w:jc w:val="both"/>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GENISO"/>
    <w:panose1 w:val="00000000000000000000"/>
    <w:charset w:val="00"/>
    <w:family w:val="auto"/>
    <w:pitch w:val="default"/>
    <w:sig w:usb0="00000000" w:usb1="00000000" w:usb2="00000000" w:usb3="00000000" w:csb0="00000000" w:csb1="00000000"/>
  </w:font>
  <w:font w:name="GENISO">
    <w:panose1 w:val="02000400000000000000"/>
    <w:charset w:val="00"/>
    <w:family w:val="auto"/>
    <w:pitch w:val="default"/>
    <w:sig w:usb0="00000003" w:usb1="00000000" w:usb2="0000004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6893BD"/>
    <w:multiLevelType w:val="singleLevel"/>
    <w:tmpl w:val="D76893BD"/>
    <w:lvl w:ilvl="0" w:tentative="0">
      <w:start w:val="1"/>
      <w:numFmt w:val="upperLetter"/>
      <w:suff w:val="space"/>
      <w:lvlText w:val="%1."/>
      <w:lvlJc w:val="left"/>
      <w:pPr>
        <w:ind w:left="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FA26DE"/>
    <w:rsid w:val="60FA26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2022-11-14T08:19:00Z</dcterms:created>
  <dc:creator>Admin</dc:creator>
  <cp:lastModifiedBy>Admin</cp:lastModifiedBy>
  <cp:lastPrinted>2022-11-14T08:46:06Z</cp:lastPrinted>
  <dcterms:modified xsi:type="dcterms:W3CDTF">2022-11-14T08:46:36Z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2057-11.2.0.11380</vt:lpwstr>
  </property>
  <property fmtid="{D5CDD505-2E9C-101B-9397-08002B2CF9AE}" pid="3" name="ICV">
    <vt:lpwstr>9325BC64F5944C5AA937D8310A97ED2A</vt:lpwstr>
  </property>
</Properties>
</file>