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30106981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30106982" r:id="rId10"/>
              </w:object>
            </w:r>
          </w:p>
        </w:tc>
      </w:tr>
    </w:tbl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CF3F02" w:rsidRPr="00D8298A" w:rsidRDefault="00CF3F02" w:rsidP="00CF3F02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dezmembr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ării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 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1515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65293,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Drobeta Turnu Severin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Start w:id="0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Zona B-dul Nicolae Iorga</w:t>
      </w:r>
      <w:bookmarkEnd w:id="0"/>
    </w:p>
    <w:p w:rsidR="00C800C0" w:rsidRPr="009226AC" w:rsidRDefault="00C800C0" w:rsidP="00C800C0">
      <w:pPr>
        <w:pStyle w:val="Corptext2"/>
        <w:jc w:val="center"/>
        <w:rPr>
          <w:b w:val="0"/>
          <w:sz w:val="24"/>
          <w:szCs w:val="24"/>
          <w:lang w:val="ro-RO"/>
        </w:rPr>
      </w:pPr>
    </w:p>
    <w:p w:rsidR="00C66BC3" w:rsidRDefault="009226AC" w:rsidP="00C66BC3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4035DE" w:rsidRPr="00730569" w:rsidRDefault="00C66BC3" w:rsidP="00C66BC3">
      <w:pPr>
        <w:pStyle w:val="Listparagraf"/>
        <w:ind w:left="0" w:firstLine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6011D6" w:rsidRPr="00C66BC3">
        <w:rPr>
          <w:rFonts w:ascii="Times New Roman" w:hAnsi="Times New Roman"/>
          <w:sz w:val="24"/>
          <w:szCs w:val="24"/>
          <w:lang w:val="ro-RO"/>
        </w:rPr>
        <w:t>Adres</w:t>
      </w:r>
      <w:r w:rsidR="00D00847">
        <w:rPr>
          <w:rFonts w:ascii="Times New Roman" w:hAnsi="Times New Roman"/>
          <w:sz w:val="24"/>
          <w:szCs w:val="24"/>
          <w:lang w:val="ro-RO"/>
        </w:rPr>
        <w:t>a</w:t>
      </w:r>
      <w:r w:rsidR="006011D6" w:rsidRPr="00C66BC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66BC3">
        <w:rPr>
          <w:rFonts w:ascii="Times New Roman" w:hAnsi="Times New Roman"/>
          <w:sz w:val="24"/>
          <w:szCs w:val="24"/>
          <w:lang w:val="ro-RO"/>
        </w:rPr>
        <w:t>înregistrat</w:t>
      </w:r>
      <w:r w:rsidR="00D00847">
        <w:rPr>
          <w:rFonts w:ascii="Times New Roman" w:hAnsi="Times New Roman"/>
          <w:sz w:val="24"/>
          <w:szCs w:val="24"/>
          <w:lang w:val="ro-RO"/>
        </w:rPr>
        <w:t>ă</w:t>
      </w:r>
      <w:r w:rsidRPr="00C66BC3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Pr="00C66BC3">
        <w:rPr>
          <w:rFonts w:ascii="Times New Roman" w:hAnsi="Times New Roman"/>
          <w:sz w:val="26"/>
          <w:szCs w:val="26"/>
          <w:lang w:val="ro-RO"/>
        </w:rPr>
        <w:t>Primăria Drobeta Turnu Severin cu numărul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bookmarkStart w:id="1" w:name="_Hlk118371765"/>
      <w:r w:rsidRPr="00C66BC3">
        <w:rPr>
          <w:rFonts w:ascii="Times New Roman" w:hAnsi="Times New Roman"/>
          <w:sz w:val="26"/>
          <w:szCs w:val="26"/>
          <w:lang w:val="ro-RO"/>
        </w:rPr>
        <w:t xml:space="preserve">19576/20.05.2022 </w:t>
      </w:r>
      <w:bookmarkStart w:id="2" w:name="_Hlk118371809"/>
      <w:bookmarkEnd w:id="1"/>
      <w:r w:rsidRPr="00C66BC3">
        <w:rPr>
          <w:rFonts w:ascii="Times New Roman" w:hAnsi="Times New Roman"/>
          <w:sz w:val="26"/>
          <w:szCs w:val="26"/>
          <w:lang w:val="ro-RO"/>
        </w:rPr>
        <w:t>în vederea extinderii suprafeței de teren deținute de o societate comercială</w:t>
      </w:r>
      <w:bookmarkEnd w:id="2"/>
      <w:r w:rsidRPr="00C66BC3">
        <w:rPr>
          <w:rFonts w:ascii="Times New Roman" w:hAnsi="Times New Roman"/>
          <w:sz w:val="26"/>
          <w:szCs w:val="26"/>
          <w:lang w:val="ro-RO"/>
        </w:rPr>
        <w:t xml:space="preserve"> din municipiul Drobeta Turnu Severin</w:t>
      </w:r>
      <w:r w:rsidR="001161A3" w:rsidRPr="009226AC"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051499" w:rsidRPr="009226AC" w:rsidRDefault="009226AC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9226AC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9226AC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9226AC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Pr="00227EBF" w:rsidRDefault="00AE7D9D" w:rsidP="00796F02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CF a UAT Drobeta Turnu Severin </w:t>
      </w:r>
      <w:r w:rsidR="00C800C0">
        <w:rPr>
          <w:rFonts w:ascii="Times New Roman" w:hAnsi="Times New Roman"/>
          <w:sz w:val="24"/>
          <w:szCs w:val="24"/>
          <w:lang w:val="ro-RO"/>
        </w:rPr>
        <w:t>6</w:t>
      </w:r>
      <w:r w:rsidR="00730569">
        <w:rPr>
          <w:rFonts w:ascii="Times New Roman" w:hAnsi="Times New Roman"/>
          <w:sz w:val="24"/>
          <w:szCs w:val="24"/>
          <w:lang w:val="ro-RO"/>
        </w:rPr>
        <w:t>5</w:t>
      </w:r>
      <w:r w:rsidR="00110FF3">
        <w:rPr>
          <w:rFonts w:ascii="Times New Roman" w:hAnsi="Times New Roman"/>
          <w:sz w:val="24"/>
          <w:szCs w:val="24"/>
          <w:lang w:val="ro-RO"/>
        </w:rPr>
        <w:t>293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având NC </w:t>
      </w:r>
      <w:r w:rsidR="006011D6">
        <w:rPr>
          <w:rFonts w:ascii="Times New Roman" w:hAnsi="Times New Roman"/>
          <w:sz w:val="24"/>
          <w:szCs w:val="24"/>
          <w:lang w:val="ro-RO"/>
        </w:rPr>
        <w:t>6</w:t>
      </w:r>
      <w:r w:rsidR="00730569">
        <w:rPr>
          <w:rFonts w:ascii="Times New Roman" w:hAnsi="Times New Roman"/>
          <w:sz w:val="24"/>
          <w:szCs w:val="24"/>
          <w:lang w:val="ro-RO"/>
        </w:rPr>
        <w:t>5</w:t>
      </w:r>
      <w:r w:rsidR="00110FF3">
        <w:rPr>
          <w:rFonts w:ascii="Times New Roman" w:hAnsi="Times New Roman"/>
          <w:sz w:val="24"/>
          <w:szCs w:val="24"/>
          <w:lang w:val="ro-RO"/>
        </w:rPr>
        <w:t>293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730569" w:rsidRPr="006C3FA7">
        <w:rPr>
          <w:rFonts w:ascii="Times New Roman" w:hAnsi="Times New Roman"/>
          <w:bCs/>
          <w:iCs/>
          <w:sz w:val="26"/>
          <w:szCs w:val="26"/>
          <w:lang w:val="ro-RO"/>
        </w:rPr>
        <w:t>Zona B-dul N. Iorga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.</w:t>
      </w: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10FF3"/>
    <w:rsid w:val="001161A3"/>
    <w:rsid w:val="00153A97"/>
    <w:rsid w:val="00165D74"/>
    <w:rsid w:val="00166CBB"/>
    <w:rsid w:val="0016747B"/>
    <w:rsid w:val="001C0373"/>
    <w:rsid w:val="001C3266"/>
    <w:rsid w:val="002065A9"/>
    <w:rsid w:val="00223FE4"/>
    <w:rsid w:val="00227EBF"/>
    <w:rsid w:val="002410F8"/>
    <w:rsid w:val="00243E69"/>
    <w:rsid w:val="0028061B"/>
    <w:rsid w:val="00285BCD"/>
    <w:rsid w:val="00287905"/>
    <w:rsid w:val="00345390"/>
    <w:rsid w:val="003636C2"/>
    <w:rsid w:val="00386C02"/>
    <w:rsid w:val="003D0163"/>
    <w:rsid w:val="003E2BBC"/>
    <w:rsid w:val="004035DE"/>
    <w:rsid w:val="00426718"/>
    <w:rsid w:val="00473120"/>
    <w:rsid w:val="0048303F"/>
    <w:rsid w:val="004D3FD3"/>
    <w:rsid w:val="0054150B"/>
    <w:rsid w:val="00547A42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508D8"/>
    <w:rsid w:val="00671F56"/>
    <w:rsid w:val="006D1CAD"/>
    <w:rsid w:val="006F4B50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834E0D"/>
    <w:rsid w:val="00835FE8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75EBA"/>
    <w:rsid w:val="00A47F0B"/>
    <w:rsid w:val="00AC3FB5"/>
    <w:rsid w:val="00AD3A3B"/>
    <w:rsid w:val="00AE7D9D"/>
    <w:rsid w:val="00AF07CE"/>
    <w:rsid w:val="00B128FC"/>
    <w:rsid w:val="00B52447"/>
    <w:rsid w:val="00B668E1"/>
    <w:rsid w:val="00BC2AB1"/>
    <w:rsid w:val="00BE4DB8"/>
    <w:rsid w:val="00C00939"/>
    <w:rsid w:val="00C53F80"/>
    <w:rsid w:val="00C64BD6"/>
    <w:rsid w:val="00C66BC3"/>
    <w:rsid w:val="00C800C0"/>
    <w:rsid w:val="00C856A1"/>
    <w:rsid w:val="00C978CF"/>
    <w:rsid w:val="00CA03E1"/>
    <w:rsid w:val="00CD652F"/>
    <w:rsid w:val="00CF3F02"/>
    <w:rsid w:val="00D00847"/>
    <w:rsid w:val="00D5644E"/>
    <w:rsid w:val="00D6690F"/>
    <w:rsid w:val="00DA0B0A"/>
    <w:rsid w:val="00DC0311"/>
    <w:rsid w:val="00E06E4A"/>
    <w:rsid w:val="00EA09EC"/>
    <w:rsid w:val="00EB7389"/>
    <w:rsid w:val="00F1089E"/>
    <w:rsid w:val="00F474F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FA1E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9</cp:revision>
  <cp:lastPrinted>2022-08-17T10:10:00Z</cp:lastPrinted>
  <dcterms:created xsi:type="dcterms:W3CDTF">2022-10-07T06:39:00Z</dcterms:created>
  <dcterms:modified xsi:type="dcterms:W3CDTF">2022-11-16T10:30:00Z</dcterms:modified>
</cp:coreProperties>
</file>