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rPr>
          <w:rFonts w:hint="eastAsia"/>
          <w:b/>
          <w:sz w:val="24"/>
          <w:lang w:val="en-US"/>
        </w:rPr>
      </w:pPr>
      <w:r>
        <w:rPr>
          <w:rFonts w:hint="eastAsia"/>
          <w:b/>
          <w:sz w:val="24"/>
          <w:lang w:val="en-US"/>
        </w:rPr>
        <w:t xml:space="preserve">ROMANIA </w:t>
      </w:r>
    </w:p>
    <w:p>
      <w:pPr>
        <w:spacing w:line="276" w:lineRule="auto"/>
        <w:rPr>
          <w:rFonts w:hint="eastAsia"/>
          <w:b/>
          <w:sz w:val="24"/>
        </w:rPr>
      </w:pPr>
      <w:r>
        <w:rPr>
          <w:rFonts w:hint="eastAsia"/>
          <w:b/>
          <w:sz w:val="24"/>
        </w:rPr>
        <w:t>COMUNA CIUMEGHIU</w:t>
      </w:r>
    </w:p>
    <w:p>
      <w:pPr>
        <w:rPr>
          <w:rFonts w:hint="eastAsia"/>
          <w:b/>
          <w:sz w:val="24"/>
          <w:lang w:val="en-US"/>
        </w:rPr>
      </w:pPr>
      <w:r>
        <w:rPr>
          <w:rFonts w:hint="eastAsia"/>
          <w:b/>
          <w:sz w:val="24"/>
          <w:lang w:val="en-US"/>
        </w:rPr>
        <w:t>JUDETUL BIHOR</w:t>
      </w:r>
    </w:p>
    <w:p>
      <w:pPr>
        <w:rPr>
          <w:rFonts w:hint="eastAsia" w:ascii="SimSun" w:hAnsi="SimSun" w:eastAsia="SimSun"/>
          <w:sz w:val="24"/>
        </w:rPr>
      </w:pPr>
      <w:r>
        <w:rPr>
          <w:rFonts w:hint="eastAsia"/>
          <w:b/>
          <w:sz w:val="24"/>
        </w:rPr>
        <w:t>N</w:t>
      </w:r>
      <w:r>
        <w:rPr>
          <w:rFonts w:hint="default"/>
          <w:b/>
          <w:sz w:val="24"/>
          <w:lang w:val="en-US"/>
        </w:rPr>
        <w:t xml:space="preserve">r.2157 </w:t>
      </w:r>
      <w:bookmarkStart w:id="0" w:name="_GoBack"/>
      <w:bookmarkEnd w:id="0"/>
      <w:r>
        <w:rPr>
          <w:rFonts w:hint="default"/>
          <w:b/>
          <w:sz w:val="24"/>
          <w:lang w:val="en-US"/>
        </w:rPr>
        <w:t>/ 31.03.2023</w:t>
      </w:r>
      <w:r>
        <w:rPr>
          <w:rFonts w:hint="eastAsia"/>
          <w:b/>
          <w:sz w:val="24"/>
        </w:rPr>
        <w:t xml:space="preserve">     </w:t>
      </w:r>
      <w:r>
        <w:rPr>
          <w:rFonts w:hint="eastAsia" w:ascii="SimSun" w:hAnsi="SimSun" w:eastAsia="SimSun"/>
          <w:sz w:val="24"/>
        </w:rPr>
        <w:t xml:space="preserve"> </w:t>
      </w:r>
    </w:p>
    <w:p>
      <w:pPr>
        <w:jc w:val="both"/>
        <w:rPr>
          <w:rFonts w:hint="eastAsia" w:ascii="SimSun" w:hAnsi="SimSun" w:eastAsia="SimSun"/>
          <w:sz w:val="24"/>
        </w:rPr>
      </w:pPr>
    </w:p>
    <w:p>
      <w:pPr>
        <w:jc w:val="center"/>
        <w:rPr>
          <w:rFonts w:hint="eastAsia" w:ascii="SimSun" w:hAnsi="SimSun" w:eastAsia="SimSun"/>
          <w:sz w:val="24"/>
        </w:rPr>
      </w:pPr>
    </w:p>
    <w:p>
      <w:pPr>
        <w:jc w:val="center"/>
        <w:rPr>
          <w:rFonts w:hint="eastAsia"/>
          <w:b/>
          <w:sz w:val="28"/>
        </w:rPr>
      </w:pPr>
      <w:r>
        <w:rPr>
          <w:rFonts w:hint="eastAsia" w:ascii="SimSun" w:hAnsi="SimSun" w:eastAsia="SimSun"/>
          <w:sz w:val="28"/>
        </w:rPr>
        <w:t xml:space="preserve"> </w:t>
      </w:r>
      <w:r>
        <w:rPr>
          <w:rFonts w:hint="eastAsia"/>
          <w:b/>
          <w:sz w:val="28"/>
        </w:rPr>
        <w:t xml:space="preserve">REFERAT </w:t>
      </w:r>
      <w:r>
        <w:rPr>
          <w:rFonts w:hint="eastAsia"/>
          <w:b/>
          <w:sz w:val="28"/>
          <w:lang w:val="en-US"/>
        </w:rPr>
        <w:t xml:space="preserve"> DE SPECIALITATE </w:t>
      </w:r>
      <w:r>
        <w:rPr>
          <w:rFonts w:hint="eastAsia"/>
          <w:b/>
          <w:sz w:val="28"/>
        </w:rPr>
        <w:t xml:space="preserve"> </w:t>
      </w:r>
    </w:p>
    <w:p>
      <w:pPr>
        <w:spacing w:line="240" w:lineRule="exact"/>
        <w:jc w:val="center"/>
        <w:rPr>
          <w:rFonts w:hint="default"/>
          <w:b/>
          <w:color w:val="000000"/>
          <w:sz w:val="24"/>
          <w:lang w:val="en-US"/>
        </w:rPr>
      </w:pPr>
      <w:r>
        <w:rPr>
          <w:rFonts w:hint="eastAsia"/>
          <w:b/>
          <w:color w:val="000000"/>
          <w:sz w:val="24"/>
        </w:rPr>
        <w:t>privind aprobarea d</w:t>
      </w:r>
      <w:r>
        <w:rPr>
          <w:rFonts w:hint="eastAsia"/>
          <w:b/>
          <w:color w:val="000000"/>
          <w:sz w:val="24"/>
          <w:lang w:val="en-US"/>
        </w:rPr>
        <w:t xml:space="preserve">ocumentatiei tehnico economice  si a </w:t>
      </w:r>
      <w:r>
        <w:rPr>
          <w:rFonts w:hint="eastAsia"/>
          <w:b/>
          <w:color w:val="000000"/>
          <w:sz w:val="24"/>
        </w:rPr>
        <w:t>devizului general actualizat al obiectivului</w:t>
      </w:r>
      <w:r>
        <w:rPr>
          <w:rFonts w:hint="eastAsia"/>
          <w:b/>
          <w:color w:val="000000"/>
          <w:sz w:val="24"/>
          <w:lang w:val="en-US"/>
        </w:rPr>
        <w:t xml:space="preserve"> de investitii </w:t>
      </w:r>
      <w:r>
        <w:rPr>
          <w:rFonts w:hint="eastAsia"/>
          <w:b/>
          <w:color w:val="000000"/>
          <w:sz w:val="24"/>
        </w:rPr>
        <w:t>:</w:t>
      </w:r>
      <w:r>
        <w:rPr>
          <w:rFonts w:hint="eastAsia"/>
          <w:b/>
          <w:sz w:val="24"/>
        </w:rPr>
        <w:t xml:space="preserve"> „INFI</w:t>
      </w:r>
      <w:r>
        <w:rPr>
          <w:rFonts w:hint="eastAsia"/>
          <w:b/>
          <w:sz w:val="24"/>
          <w:lang w:val="en-US"/>
        </w:rPr>
        <w:t>I</w:t>
      </w:r>
      <w:r>
        <w:rPr>
          <w:rFonts w:hint="eastAsia"/>
          <w:b/>
          <w:sz w:val="24"/>
        </w:rPr>
        <w:t>NTARE RETELE DE CANALIZARE SI APA IN SATUL BOIU SI EXTINDERE RETEA DE CANALIZARE IN SATELE CIUMEGHIU SI GHIORAC”</w:t>
      </w:r>
      <w:r>
        <w:rPr>
          <w:rFonts w:hint="eastAsia"/>
          <w:b/>
          <w:color w:val="000000"/>
          <w:sz w:val="24"/>
          <w:lang/>
        </w:rPr>
        <w:t>judetul Bihor</w:t>
      </w:r>
      <w:r>
        <w:rPr>
          <w:rFonts w:hint="eastAsia"/>
          <w:b/>
          <w:color w:val="000000"/>
          <w:sz w:val="24"/>
        </w:rPr>
        <w:t>”</w:t>
      </w:r>
      <w:r>
        <w:rPr>
          <w:rFonts w:hint="default"/>
          <w:b/>
          <w:color w:val="000000"/>
          <w:sz w:val="24"/>
          <w:lang w:val="en-US"/>
        </w:rPr>
        <w:t>.</w:t>
      </w:r>
    </w:p>
    <w:p>
      <w:pPr>
        <w:spacing w:line="240" w:lineRule="exact"/>
        <w:jc w:val="center"/>
        <w:rPr>
          <w:rFonts w:hint="eastAsia"/>
          <w:b/>
          <w:color w:val="000000"/>
          <w:sz w:val="24"/>
          <w:lang w:val="en-US"/>
        </w:rPr>
      </w:pPr>
    </w:p>
    <w:p>
      <w:pPr>
        <w:spacing w:line="240" w:lineRule="exact"/>
        <w:ind w:firstLine="480" w:firstLineChars="200"/>
        <w:jc w:val="left"/>
        <w:rPr>
          <w:rFonts w:hint="eastAsia"/>
          <w:color w:val="000000"/>
          <w:sz w:val="24"/>
        </w:rPr>
      </w:pPr>
      <w:r>
        <w:rPr>
          <w:rFonts w:hint="eastAsia"/>
          <w:sz w:val="24"/>
        </w:rPr>
        <w:t>Av</w:t>
      </w:r>
      <w:r>
        <w:rPr>
          <w:rFonts w:hint="eastAsia"/>
          <w:sz w:val="24"/>
          <w:lang w:val="en-US"/>
        </w:rPr>
        <w:t>a</w:t>
      </w:r>
      <w:r>
        <w:rPr>
          <w:rFonts w:hint="eastAsia"/>
          <w:sz w:val="24"/>
        </w:rPr>
        <w:t>nd in vedere :</w:t>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sz w:val="24"/>
          <w:lang w:val="en-US"/>
        </w:rPr>
        <w:tab/>
      </w:r>
      <w:r>
        <w:rPr>
          <w:rFonts w:hint="eastAsia"/>
          <w:color w:val="000000"/>
          <w:sz w:val="24"/>
        </w:rPr>
        <w:t>-</w:t>
      </w:r>
      <w:r>
        <w:rPr>
          <w:rFonts w:hint="eastAsia"/>
          <w:sz w:val="24"/>
        </w:rPr>
        <w:t xml:space="preserve"> </w:t>
      </w:r>
      <w:r>
        <w:rPr>
          <w:rFonts w:hint="eastAsia"/>
          <w:sz w:val="24"/>
          <w:lang w:val="en-US"/>
        </w:rPr>
        <w:t>-</w:t>
      </w:r>
      <w:r>
        <w:rPr>
          <w:rFonts w:hint="eastAsia"/>
          <w:color w:val="000000"/>
          <w:sz w:val="24"/>
        </w:rPr>
        <w:t xml:space="preserve">Ordonanta de Urgenta Nr. 95/03.09.2021 pentru aprobarea Programului național de investiții „Anghel Saligny”,  publicat in MONITORUL OFICIAL AL ROMÂNIEI, PARTEA I, </w:t>
      </w:r>
    </w:p>
    <w:p>
      <w:pPr>
        <w:spacing w:line="240" w:lineRule="exact"/>
        <w:jc w:val="left"/>
        <w:rPr>
          <w:rFonts w:hint="eastAsia"/>
          <w:color w:val="000000"/>
          <w:sz w:val="24"/>
        </w:rPr>
      </w:pPr>
      <w:r>
        <w:rPr>
          <w:rFonts w:hint="eastAsia"/>
          <w:color w:val="000000"/>
          <w:sz w:val="24"/>
        </w:rPr>
        <w:t>- Ordinul nr 278/167/2022 privind aprobarea Normelor metodologice pentru punerea în aplicare a prevederilor Ordonanței de urgență a Guvernului nr. 95/2021 pentru aprobarea Programului național de investiții „Anghel Saligny”, pentru categoriile de investiții prevăzute la art. 4 alin. (1) lit. e) din Ordonanța de urgență a Guvernului nr. 95/2021, publicat in MONITORUL OFICIAL AL ROMÂNIEI, PARTEA I, Nr. 221/07.03.2022.</w:t>
      </w:r>
    </w:p>
    <w:p>
      <w:pPr>
        <w:spacing w:line="240" w:lineRule="exact"/>
        <w:jc w:val="left"/>
        <w:rPr>
          <w:rFonts w:hint="eastAsia"/>
          <w:color w:val="000000"/>
          <w:sz w:val="24"/>
        </w:rPr>
      </w:pPr>
      <w:r>
        <w:rPr>
          <w:rFonts w:hint="eastAsia"/>
          <w:color w:val="000000"/>
          <w:sz w:val="24"/>
        </w:rPr>
        <w:t xml:space="preserve">-Ordinul pentru aprobarea standardelor de cost aferente obiectivelor de investitii prevazute la </w:t>
      </w:r>
    </w:p>
    <w:p>
      <w:pPr>
        <w:spacing w:line="240" w:lineRule="exact"/>
        <w:jc w:val="left"/>
        <w:rPr>
          <w:rFonts w:hint="eastAsia"/>
          <w:color w:val="000000"/>
          <w:sz w:val="24"/>
        </w:rPr>
      </w:pPr>
      <w:r>
        <w:rPr>
          <w:rFonts w:hint="eastAsia"/>
          <w:color w:val="000000"/>
          <w:sz w:val="24"/>
        </w:rPr>
        <w:t>art. 4, alin (1) , lit e) din OUG 95/2021 pentru aprobarea Programului național de investiții „Anghel Saligny”;</w:t>
      </w:r>
    </w:p>
    <w:p>
      <w:pPr>
        <w:spacing w:line="240" w:lineRule="exact"/>
        <w:jc w:val="left"/>
        <w:rPr>
          <w:rFonts w:hint="eastAsia"/>
          <w:color w:val="000000"/>
          <w:sz w:val="24"/>
        </w:rPr>
      </w:pPr>
      <w:r>
        <w:rPr>
          <w:rFonts w:hint="eastAsia"/>
          <w:color w:val="000000"/>
          <w:sz w:val="24"/>
        </w:rPr>
        <w:t>-Ordonanța de Urgență nr.40/2022 privind instituirea unor măsuri pentru derularea Programului național de investiții „Anghel Saligny” și pentru modificarea art. 1 alin. (2) din Ordonanța de urgență a Guvernului nr. 95/2021 pentru aprobarea Programului național de investiții „Anghel Saligny</w:t>
      </w:r>
    </w:p>
    <w:p>
      <w:pPr>
        <w:spacing w:line="240" w:lineRule="exact"/>
        <w:jc w:val="left"/>
        <w:rPr>
          <w:rFonts w:hint="eastAsia"/>
          <w:color w:val="000000"/>
          <w:sz w:val="24"/>
          <w:lang/>
        </w:rPr>
      </w:pPr>
      <w:r>
        <w:rPr>
          <w:rFonts w:hint="eastAsia"/>
          <w:color w:val="000000"/>
          <w:sz w:val="24"/>
          <w:lang/>
        </w:rPr>
        <w:t>-In conformitate cu prevederile Legii nr. 273/2006 privind finantele publice locale, cu modificarile si completarile ulterioare,</w:t>
      </w:r>
    </w:p>
    <w:p>
      <w:pPr>
        <w:widowControl w:val="0"/>
        <w:autoSpaceDE w:val="0"/>
        <w:autoSpaceDN w:val="0"/>
        <w:jc w:val="left"/>
        <w:rPr>
          <w:rFonts w:hint="eastAsia"/>
          <w:color w:val="000000"/>
          <w:sz w:val="24"/>
        </w:rPr>
      </w:pPr>
      <w:r>
        <w:rPr>
          <w:rFonts w:hint="eastAsia"/>
          <w:color w:val="000000"/>
          <w:sz w:val="24"/>
        </w:rPr>
        <w:t xml:space="preserve"> - Prevederile art. 5 alin. (1) lit. a), alin (ii) și art. 7 alin. (1) din Hotărârea nr. 907/ 2016 privind etapele de elaborare si continutul - cadru al documentatiilor tehnico - economice aferente obiectivelor/ proiectelor de investitii finantate din fonduri publice, cu modificarile si completarile ulterioare; </w:t>
      </w:r>
    </w:p>
    <w:p>
      <w:pPr>
        <w:widowControl w:val="0"/>
        <w:autoSpaceDE w:val="0"/>
        <w:autoSpaceDN w:val="0"/>
        <w:jc w:val="left"/>
        <w:rPr>
          <w:rFonts w:hint="eastAsia"/>
          <w:color w:val="000000"/>
          <w:sz w:val="24"/>
        </w:rPr>
      </w:pPr>
      <w:r>
        <w:rPr>
          <w:rFonts w:hint="eastAsia"/>
          <w:color w:val="000000"/>
          <w:sz w:val="24"/>
        </w:rPr>
        <w:t xml:space="preserve">- Prevederile art. 140 alin. (1) și (3), ale art. 196 alin. (1), lit. a), ale art. 197 alin. (1) și ale art. 243 alin. (1), lit. a) și b) din Ordonanța de Urgență nr. 57/ 2019 privind Codul Administrativ, cu modificări și completări ulterioare; </w:t>
      </w:r>
    </w:p>
    <w:p>
      <w:pPr>
        <w:widowControl w:val="0"/>
        <w:autoSpaceDE w:val="0"/>
        <w:autoSpaceDN w:val="0"/>
        <w:jc w:val="left"/>
        <w:rPr>
          <w:rFonts w:hint="eastAsia"/>
          <w:color w:val="000000"/>
          <w:sz w:val="24"/>
        </w:rPr>
      </w:pPr>
      <w:r>
        <w:rPr>
          <w:rFonts w:hint="eastAsia"/>
          <w:color w:val="000000"/>
          <w:sz w:val="24"/>
        </w:rPr>
        <w:t xml:space="preserve">În temeiul dispoziţiilor art. 129 alin. (2) lit. b) şi alin. (4) lit. d) din Ordonanța de Urgență nr. 57/ 2019 privind Codul Administrativ, cu modificări și completări ulterioare, </w:t>
      </w:r>
    </w:p>
    <w:p>
      <w:pPr>
        <w:autoSpaceDN w:val="0"/>
        <w:spacing w:beforeAutospacing="1" w:afterAutospacing="1"/>
        <w:jc w:val="center"/>
        <w:rPr>
          <w:rFonts w:hint="eastAsia"/>
          <w:b/>
          <w:sz w:val="24"/>
          <w:lang w:val="en-US"/>
        </w:rPr>
      </w:pPr>
      <w:r>
        <w:rPr>
          <w:rFonts w:hint="eastAsia"/>
          <w:sz w:val="24"/>
        </w:rPr>
        <w:t xml:space="preserve"> </w:t>
      </w:r>
      <w:r>
        <w:rPr>
          <w:rFonts w:hint="eastAsia"/>
          <w:b/>
          <w:sz w:val="24"/>
          <w:lang w:val="en-US"/>
        </w:rPr>
        <w:t>PROPUN</w:t>
      </w:r>
    </w:p>
    <w:p>
      <w:pPr>
        <w:spacing w:line="240" w:lineRule="exact"/>
        <w:ind w:right="-585" w:rightChars="-279"/>
        <w:jc w:val="left"/>
        <w:rPr>
          <w:rFonts w:hint="eastAsia"/>
          <w:b/>
          <w:color w:val="000000"/>
          <w:sz w:val="24"/>
        </w:rPr>
      </w:pPr>
      <w:r>
        <w:rPr>
          <w:rFonts w:hint="eastAsia"/>
          <w:b/>
          <w:sz w:val="24"/>
          <w:lang w:val="en-US"/>
        </w:rPr>
        <w:t xml:space="preserve">    </w:t>
      </w:r>
      <w:r>
        <w:rPr>
          <w:rFonts w:hint="eastAsia"/>
          <w:color w:val="000000"/>
          <w:sz w:val="24"/>
        </w:rPr>
        <w:t>privin</w:t>
      </w:r>
      <w:r>
        <w:rPr>
          <w:rFonts w:hint="default"/>
          <w:color w:val="000000"/>
          <w:sz w:val="24"/>
          <w:lang w:val="en-US"/>
        </w:rPr>
        <w:t>d</w:t>
      </w:r>
      <w:r>
        <w:rPr>
          <w:rFonts w:hint="eastAsia"/>
          <w:color w:val="000000"/>
          <w:sz w:val="24"/>
        </w:rPr>
        <w:t xml:space="preserve"> aprobarea</w:t>
      </w:r>
      <w:r>
        <w:rPr>
          <w:rFonts w:hint="eastAsia"/>
          <w:color w:val="000000"/>
          <w:sz w:val="24"/>
          <w:lang w:val="en-US"/>
        </w:rPr>
        <w:t xml:space="preserve"> </w:t>
      </w:r>
      <w:r>
        <w:rPr>
          <w:rFonts w:hint="eastAsia"/>
          <w:color w:val="000000"/>
          <w:sz w:val="24"/>
        </w:rPr>
        <w:t>d</w:t>
      </w:r>
      <w:r>
        <w:rPr>
          <w:rFonts w:hint="eastAsia"/>
          <w:color w:val="000000"/>
          <w:sz w:val="24"/>
          <w:lang w:val="en-US"/>
        </w:rPr>
        <w:t xml:space="preserve">ocumentatiei tehnico economice  si a </w:t>
      </w:r>
      <w:r>
        <w:rPr>
          <w:rFonts w:hint="eastAsia"/>
          <w:color w:val="000000"/>
          <w:sz w:val="24"/>
        </w:rPr>
        <w:t>devizului general actualizat al obiectivului</w:t>
      </w:r>
      <w:r>
        <w:rPr>
          <w:rFonts w:hint="eastAsia"/>
          <w:color w:val="000000"/>
          <w:sz w:val="24"/>
          <w:lang w:val="en-US"/>
        </w:rPr>
        <w:t xml:space="preserve"> de investitii </w:t>
      </w:r>
      <w:r>
        <w:rPr>
          <w:rFonts w:hint="eastAsia"/>
          <w:color w:val="000000"/>
          <w:sz w:val="24"/>
        </w:rPr>
        <w:t>:</w:t>
      </w:r>
      <w:r>
        <w:rPr>
          <w:rFonts w:hint="eastAsia"/>
          <w:sz w:val="24"/>
        </w:rPr>
        <w:t xml:space="preserve"> „INFI</w:t>
      </w:r>
      <w:r>
        <w:rPr>
          <w:rFonts w:hint="eastAsia"/>
          <w:sz w:val="24"/>
          <w:lang w:val="en-US"/>
        </w:rPr>
        <w:t>I</w:t>
      </w:r>
      <w:r>
        <w:rPr>
          <w:rFonts w:hint="eastAsia"/>
          <w:sz w:val="24"/>
        </w:rPr>
        <w:t>NTARE RETELE DE CANALIZARE SI APA IN SATUL BOIU SI EXTINDERE RETEA DE CANALIZARE IN SATELE CIUMEGHIU SI GHIORAC”</w:t>
      </w:r>
      <w:r>
        <w:rPr>
          <w:rFonts w:hint="eastAsia"/>
          <w:color w:val="000000"/>
          <w:sz w:val="24"/>
          <w:lang/>
        </w:rPr>
        <w:t>judetul Bihor</w:t>
      </w:r>
      <w:r>
        <w:rPr>
          <w:rFonts w:hint="eastAsia"/>
          <w:color w:val="000000"/>
          <w:sz w:val="24"/>
        </w:rPr>
        <w:t>”</w:t>
      </w:r>
      <w:r>
        <w:rPr>
          <w:rFonts w:hint="eastAsia"/>
          <w:color w:val="000000"/>
          <w:sz w:val="24"/>
          <w:lang w:val="en-US"/>
        </w:rPr>
        <w:t>avand o valoare de</w:t>
      </w:r>
      <w:r>
        <w:rPr>
          <w:rFonts w:hint="eastAsia"/>
          <w:b/>
          <w:color w:val="000000"/>
          <w:sz w:val="24"/>
          <w:lang w:val="en-US"/>
        </w:rPr>
        <w:t xml:space="preserve"> 29,788,449.91 fara TVA si 35,416,378.06 cu TVA ,</w:t>
      </w:r>
      <w:r>
        <w:rPr>
          <w:rFonts w:hint="eastAsia"/>
          <w:color w:val="000000"/>
          <w:sz w:val="24"/>
          <w:lang w:val="en-US"/>
        </w:rPr>
        <w:t>conform devizului anexat .</w:t>
      </w:r>
    </w:p>
    <w:p>
      <w:pPr>
        <w:spacing w:line="276" w:lineRule="auto"/>
        <w:rPr>
          <w:rFonts w:hint="eastAsia"/>
          <w:b/>
          <w:sz w:val="24"/>
        </w:rPr>
      </w:pPr>
    </w:p>
    <w:p>
      <w:pPr>
        <w:spacing w:line="276" w:lineRule="auto"/>
        <w:rPr>
          <w:rFonts w:hint="eastAsia"/>
          <w:b/>
          <w:sz w:val="24"/>
        </w:rPr>
      </w:pPr>
      <w:r>
        <w:rPr>
          <w:rFonts w:hint="eastAsia"/>
          <w:b/>
          <w:sz w:val="24"/>
        </w:rPr>
        <w:t xml:space="preserve">Întocmit </w:t>
      </w:r>
    </w:p>
    <w:p>
      <w:pPr>
        <w:spacing w:line="276" w:lineRule="auto"/>
        <w:rPr>
          <w:rFonts w:hint="eastAsia"/>
          <w:b/>
          <w:sz w:val="24"/>
          <w:lang w:val="en-US"/>
        </w:rPr>
      </w:pPr>
      <w:r>
        <w:rPr>
          <w:rFonts w:hint="eastAsia"/>
          <w:b/>
          <w:sz w:val="24"/>
          <w:lang w:val="en-US"/>
        </w:rPr>
        <w:t>REFERENT URBANISM</w:t>
      </w:r>
    </w:p>
    <w:p>
      <w:pPr>
        <w:spacing w:line="276" w:lineRule="auto"/>
        <w:rPr>
          <w:rFonts w:hint="eastAsia"/>
          <w:b/>
          <w:sz w:val="24"/>
          <w:lang w:val="en-US"/>
        </w:rPr>
      </w:pPr>
      <w:r>
        <w:rPr>
          <w:rFonts w:hint="eastAsia"/>
          <w:b/>
          <w:sz w:val="24"/>
          <w:lang w:val="en-US"/>
        </w:rPr>
        <w:t xml:space="preserve">BUCSA MARIANA </w:t>
      </w:r>
    </w:p>
    <w:p>
      <w:pPr>
        <w:widowControl w:val="0"/>
        <w:autoSpaceDE w:val="0"/>
        <w:autoSpaceDN w:val="0"/>
        <w:rPr>
          <w:rFonts w:hint="eastAsia"/>
          <w:sz w:val="24"/>
        </w:rPr>
      </w:pPr>
    </w:p>
    <w:p>
      <w:pPr>
        <w:jc w:val="center"/>
        <w:rPr>
          <w:rFonts w:hint="eastAsia"/>
          <w:b/>
          <w:i/>
          <w:sz w:val="24"/>
          <w:lang w:val="en-US"/>
        </w:rPr>
      </w:pPr>
    </w:p>
    <w:p>
      <w:pPr>
        <w:jc w:val="center"/>
        <w:rPr>
          <w:rFonts w:hint="eastAsia"/>
          <w:b/>
          <w:i/>
          <w:sz w:val="24"/>
          <w:lang w:val="en-US"/>
        </w:rPr>
      </w:pPr>
    </w:p>
    <w:p>
      <w:pPr>
        <w:autoSpaceDN w:val="0"/>
        <w:spacing w:beforeAutospacing="1" w:afterAutospacing="1"/>
        <w:rPr>
          <w:rFonts w:hint="eastAsia"/>
          <w:sz w:val="24"/>
        </w:rPr>
      </w:pPr>
    </w:p>
    <w:p>
      <w:pPr>
        <w:autoSpaceDN w:val="0"/>
        <w:spacing w:beforeAutospacing="1" w:afterAutospacing="1"/>
        <w:rPr>
          <w:rFonts w:hint="eastAsia"/>
          <w:sz w:val="24"/>
        </w:rPr>
      </w:pPr>
      <w:r>
        <w:rPr>
          <w:rFonts w:hint="eastAsia"/>
          <w:sz w:val="24"/>
        </w:rPr>
        <w:t xml:space="preserve"> </w:t>
      </w:r>
    </w:p>
    <w:p/>
    <w:sectPr>
      <w:pgSz w:w="12247" w:h="15819"/>
      <w:pgMar w:top="1440" w:right="990" w:bottom="1440" w:left="1797"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annotation subject"/>
    <w:lsdException w:unhideWhenUsed="0" w:uiPriority="0" w:name="Balloon Text"/>
  </w:latentStyles>
  <w:style w:type="paragraph" w:default="1" w:styleId="1">
    <w:name w:val="Normal"/>
    <w:uiPriority w:val="0"/>
    <w:pPr>
      <w:jc w:val="both"/>
    </w:pPr>
    <w:rPr>
      <w:rFonts w:hint="eastAsia" w:ascii="Times New Roman" w:hAnsi="Times New Roman" w:eastAsia="Times New Roman"/>
      <w:kern w:val="2"/>
      <w:sz w:val="21"/>
    </w:rPr>
  </w:style>
  <w:style w:type="paragraph" w:styleId="2">
    <w:name w:val="heading 1"/>
    <w:basedOn w:val="1"/>
    <w:next w:val="1"/>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uiPriority w:val="0"/>
    <w:pPr>
      <w:keepNext/>
      <w:keepLines/>
      <w:spacing w:before="240" w:beforeAutospacing="0" w:after="60" w:afterAutospacing="0" w:line="240" w:lineRule="auto"/>
      <w:outlineLvl w:val="4"/>
    </w:pPr>
    <w:rPr>
      <w:b/>
      <w:i/>
      <w:sz w:val="26"/>
    </w:rPr>
  </w:style>
  <w:style w:type="paragraph" w:styleId="7">
    <w:name w:val="heading 6"/>
    <w:basedOn w:val="1"/>
    <w:next w:val="1"/>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uiPriority w:val="0"/>
    <w:pPr>
      <w:keepNext/>
      <w:keepLines/>
      <w:spacing w:before="240" w:beforeAutospacing="0" w:after="60" w:afterAutospacing="0" w:line="240" w:lineRule="auto"/>
      <w:outlineLvl w:val="6"/>
    </w:pPr>
    <w:rPr>
      <w:sz w:val="24"/>
    </w:rPr>
  </w:style>
  <w:style w:type="paragraph" w:styleId="9">
    <w:name w:val="heading 8"/>
    <w:basedOn w:val="1"/>
    <w:next w:val="1"/>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uiPriority w:val="0"/>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Kingsoft Office_9.1.0.4560_{F1E327BC-269C-435d-A152-05C5408002CA}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LUCI</dc:creator>
  <cp:lastModifiedBy>LUCI</cp:lastModifiedBy>
  <cp:lastPrinted>1899-12-30T00:00:00Z</cp:lastPrinted>
  <dcterms:modified xsi:type="dcterms:W3CDTF">2023-04-20T09:56:12Z</dcterms:modified>
  <dc:title>ROMANIA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