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4" w:rsidRPr="00D05D34" w:rsidRDefault="00D05D34" w:rsidP="00AE3F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D34" w:rsidRPr="00D05D34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>ROMÂNIA</w:t>
      </w:r>
    </w:p>
    <w:p w:rsidR="00D05D34" w:rsidRPr="00D05D34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D05D34" w:rsidRPr="00D05D34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</w: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MARGITTAMEGYEI JOGU VAROS - MARGHITA TOWN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D05D34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415300 - Marghita,  jud. Bihor,                                                           telefon : +40259362001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  Cod fiscal 4348947                                                                              fax:      +40359409982</w:t>
      </w:r>
    </w:p>
    <w:p w:rsidR="00D05D34" w:rsidRPr="00D05D34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05D3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e-mail:</w:t>
      </w:r>
      <w:hyperlink r:id="rId6" w:history="1">
        <w:r w:rsidRPr="00D05D34">
          <w:rPr>
            <w:rFonts w:ascii="Times New Roman" w:eastAsia="Times New Roman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D05D34" w:rsidRPr="00D05D34" w:rsidRDefault="002729A4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729A4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" gain="49807f" blacklevel="-7209f"/>
          </v:shape>
        </w:pict>
      </w:r>
    </w:p>
    <w:p w:rsidR="00FB283E" w:rsidRDefault="00C065EB" w:rsidP="00C065EB">
      <w:pPr>
        <w:rPr>
          <w:rFonts w:ascii="Times New Roman" w:hAnsi="Times New Roman" w:cs="Times New Roman"/>
          <w:sz w:val="24"/>
          <w:szCs w:val="24"/>
        </w:rPr>
      </w:pPr>
      <w:r w:rsidRPr="001C2657">
        <w:rPr>
          <w:rFonts w:ascii="Times New Roman" w:hAnsi="Times New Roman" w:cs="Times New Roman"/>
          <w:b/>
          <w:sz w:val="24"/>
          <w:szCs w:val="24"/>
        </w:rPr>
        <w:t>Nr. 120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C2657">
        <w:rPr>
          <w:rFonts w:ascii="Times New Roman" w:hAnsi="Times New Roman" w:cs="Times New Roman"/>
          <w:b/>
          <w:sz w:val="24"/>
          <w:szCs w:val="24"/>
        </w:rPr>
        <w:t xml:space="preserve"> din 03.02.2023</w:t>
      </w:r>
    </w:p>
    <w:p w:rsidR="004D0055" w:rsidRPr="004D0055" w:rsidRDefault="004D0055" w:rsidP="004D0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RE</w:t>
      </w:r>
      <w:bookmarkStart w:id="0" w:name="_GoBack"/>
      <w:bookmarkEnd w:id="0"/>
      <w:r w:rsidRPr="004D0055">
        <w:rPr>
          <w:rFonts w:ascii="Times New Roman" w:hAnsi="Times New Roman" w:cs="Times New Roman"/>
          <w:b/>
          <w:sz w:val="24"/>
          <w:szCs w:val="24"/>
        </w:rPr>
        <w:t>FERAT DE APROBARE</w:t>
      </w:r>
    </w:p>
    <w:p w:rsidR="00C065EB" w:rsidRDefault="004D0055" w:rsidP="00C065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- pentru PROIECTUL DE HOTĂRÂRE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aprobarea</w:t>
      </w:r>
      <w:r w:rsidR="00C065EB">
        <w:rPr>
          <w:rFonts w:ascii="Times New Roman" w:hAnsi="Times New Roman" w:cs="Times New Roman"/>
          <w:b/>
          <w:sz w:val="24"/>
          <w:szCs w:val="24"/>
        </w:rPr>
        <w:t xml:space="preserve"> Regulamentului de funcționare, întreținere și exploatare a imobilului: Bazin Didactic de înot, precum și a tarifelor ce se vor aplica în desfășurarea activității</w:t>
      </w:r>
    </w:p>
    <w:p w:rsidR="00FD524E" w:rsidRDefault="006B7D09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</w:t>
      </w:r>
      <w:r w:rsidRPr="006B7D09">
        <w:rPr>
          <w:rFonts w:ascii="TimesNewRoman" w:hAnsi="TimesNewRoman" w:cs="TimesNewRoman"/>
          <w:sz w:val="24"/>
          <w:szCs w:val="24"/>
        </w:rPr>
        <w:t xml:space="preserve">m inițiat acest proiect de hotărâre </w:t>
      </w:r>
      <w:r w:rsidR="00594073" w:rsidRPr="00594073">
        <w:rPr>
          <w:rFonts w:ascii="TimesNewRoman" w:hAnsi="TimesNewRoman" w:cs="TimesNewRoman"/>
          <w:sz w:val="24"/>
          <w:szCs w:val="24"/>
        </w:rPr>
        <w:t>lu</w:t>
      </w:r>
      <w:r w:rsidR="00594073">
        <w:rPr>
          <w:rFonts w:ascii="TimesNewRoman" w:hAnsi="TimesNewRoman" w:cs="TimesNewRoman"/>
          <w:sz w:val="24"/>
          <w:szCs w:val="24"/>
        </w:rPr>
        <w:t>â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nd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n considerare multiplele beneficii ale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>notului printre care enumeram: antrenarea musculaturii cu un impact minim asupra oaselor, sporirea flexibilit</w:t>
      </w:r>
      <w:r w:rsidR="00594073">
        <w:rPr>
          <w:rFonts w:ascii="TimesNewRoman" w:hAnsi="TimesNewRoman" w:cs="TimesNewRoman"/>
          <w:sz w:val="24"/>
          <w:szCs w:val="24"/>
        </w:rPr>
        <w:t>ăț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ii,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>nt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rirea sistemului cardio-vascular și a inimii, pierderea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n greutate,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>nt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>rirea sistemului respirator, vindecarea sau recuperarea mai rapida în cazul anumitor afec</w:t>
      </w:r>
      <w:r w:rsidR="00594073">
        <w:rPr>
          <w:rFonts w:ascii="TimesNewRoman" w:hAnsi="TimesNewRoman" w:cs="TimesNewRoman"/>
          <w:sz w:val="24"/>
          <w:szCs w:val="24"/>
        </w:rPr>
        <w:t>ț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iuni, </w:t>
      </w:r>
      <w:r w:rsidR="00594073">
        <w:rPr>
          <w:rFonts w:ascii="TimesNewRoman" w:hAnsi="TimesNewRoman" w:cs="TimesNewRoman"/>
          <w:sz w:val="24"/>
          <w:szCs w:val="24"/>
        </w:rPr>
        <w:t>îmbună</w:t>
      </w:r>
      <w:r w:rsidR="00594073" w:rsidRPr="00594073">
        <w:rPr>
          <w:rFonts w:ascii="TimesNewRoman" w:hAnsi="TimesNewRoman" w:cs="TimesNewRoman"/>
          <w:sz w:val="24"/>
          <w:szCs w:val="24"/>
        </w:rPr>
        <w:t>t</w:t>
      </w:r>
      <w:r w:rsidR="00594073">
        <w:rPr>
          <w:rFonts w:ascii="TimesNewRoman" w:hAnsi="TimesNewRoman" w:cs="TimesNewRoman"/>
          <w:sz w:val="24"/>
          <w:szCs w:val="24"/>
        </w:rPr>
        <w:t>ăț</w:t>
      </w:r>
      <w:r w:rsidR="00594073" w:rsidRPr="00594073">
        <w:rPr>
          <w:rFonts w:ascii="TimesNewRoman" w:hAnsi="TimesNewRoman" w:cs="TimesNewRoman"/>
          <w:sz w:val="24"/>
          <w:szCs w:val="24"/>
        </w:rPr>
        <w:t>irea posturii, relaxarea muscular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 la adul</w:t>
      </w:r>
      <w:r w:rsidR="00594073">
        <w:rPr>
          <w:rFonts w:ascii="TimesNewRoman" w:hAnsi="TimesNewRoman" w:cs="TimesNewRoman"/>
          <w:sz w:val="24"/>
          <w:szCs w:val="24"/>
        </w:rPr>
        <w:t>ț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i </w:t>
      </w:r>
      <w:r w:rsidR="00594073">
        <w:rPr>
          <w:rFonts w:ascii="TimesNewRoman" w:hAnsi="TimesNewRoman" w:cs="TimesNewRoman"/>
          <w:sz w:val="24"/>
          <w:szCs w:val="24"/>
        </w:rPr>
        <w:t>ș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i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>nt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>rirea sistemului imunitar, dezvoltarea armonioas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 f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>r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 presiune pe articula</w:t>
      </w:r>
      <w:r w:rsidR="00594073">
        <w:rPr>
          <w:rFonts w:ascii="TimesNewRoman" w:hAnsi="TimesNewRoman" w:cs="TimesNewRoman"/>
          <w:sz w:val="24"/>
          <w:szCs w:val="24"/>
        </w:rPr>
        <w:t>ț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ii,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>mbun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>t</w:t>
      </w:r>
      <w:r w:rsidR="00594073">
        <w:rPr>
          <w:rFonts w:ascii="TimesNewRoman" w:hAnsi="TimesNewRoman" w:cs="TimesNewRoman"/>
          <w:sz w:val="24"/>
          <w:szCs w:val="24"/>
        </w:rPr>
        <w:t>ăț</w:t>
      </w:r>
      <w:r w:rsidR="00594073" w:rsidRPr="00594073">
        <w:rPr>
          <w:rFonts w:ascii="TimesNewRoman" w:hAnsi="TimesNewRoman" w:cs="TimesNewRoman"/>
          <w:sz w:val="24"/>
          <w:szCs w:val="24"/>
        </w:rPr>
        <w:t>irea coordon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rii </w:t>
      </w:r>
      <w:r w:rsidR="00594073">
        <w:rPr>
          <w:rFonts w:ascii="TimesNewRoman" w:hAnsi="TimesNewRoman" w:cs="TimesNewRoman"/>
          <w:sz w:val="24"/>
          <w:szCs w:val="24"/>
        </w:rPr>
        <w:t>ș</w:t>
      </w:r>
      <w:r w:rsidR="00594073" w:rsidRPr="00594073">
        <w:rPr>
          <w:rFonts w:ascii="TimesNewRoman" w:hAnsi="TimesNewRoman" w:cs="TimesNewRoman"/>
          <w:sz w:val="24"/>
          <w:szCs w:val="24"/>
        </w:rPr>
        <w:t>i a mobilit</w:t>
      </w:r>
      <w:r w:rsidR="00594073">
        <w:rPr>
          <w:rFonts w:ascii="TimesNewRoman" w:hAnsi="TimesNewRoman" w:cs="TimesNewRoman"/>
          <w:sz w:val="24"/>
          <w:szCs w:val="24"/>
        </w:rPr>
        <w:t>ăț</w:t>
      </w:r>
      <w:r w:rsidR="00594073" w:rsidRPr="00594073">
        <w:rPr>
          <w:rFonts w:ascii="TimesNewRoman" w:hAnsi="TimesNewRoman" w:cs="TimesNewRoman"/>
          <w:sz w:val="24"/>
          <w:szCs w:val="24"/>
        </w:rPr>
        <w:t>ii și ameliorarea simptomelor de astm la copii</w:t>
      </w:r>
      <w:r w:rsidR="00594073">
        <w:rPr>
          <w:rFonts w:ascii="TimesNewRoman" w:hAnsi="TimesNewRoman" w:cs="TimesNewRoman"/>
          <w:sz w:val="24"/>
          <w:szCs w:val="24"/>
        </w:rPr>
        <w:t>, precumș</w:t>
      </w:r>
      <w:r w:rsidR="00594073" w:rsidRPr="00594073">
        <w:rPr>
          <w:rFonts w:ascii="TimesNewRoman" w:hAnsi="TimesNewRoman" w:cs="TimesNewRoman"/>
          <w:sz w:val="24"/>
          <w:szCs w:val="24"/>
        </w:rPr>
        <w:t>i necesitatea asigur</w:t>
      </w:r>
      <w:r w:rsidR="00594073">
        <w:rPr>
          <w:rFonts w:ascii="TimesNewRoman" w:hAnsi="TimesNewRoman" w:cs="TimesNewRoman"/>
          <w:sz w:val="24"/>
          <w:szCs w:val="24"/>
        </w:rPr>
        <w:t>ă</w:t>
      </w:r>
      <w:r w:rsidR="00594073" w:rsidRPr="00594073">
        <w:rPr>
          <w:rFonts w:ascii="TimesNewRoman" w:hAnsi="TimesNewRoman" w:cs="TimesNewRoman"/>
          <w:sz w:val="24"/>
          <w:szCs w:val="24"/>
        </w:rPr>
        <w:t>rii cadrului legal pentru func</w:t>
      </w:r>
      <w:r w:rsidR="00594073">
        <w:rPr>
          <w:rFonts w:ascii="TimesNewRoman" w:hAnsi="TimesNewRoman" w:cs="TimesNewRoman"/>
          <w:sz w:val="24"/>
          <w:szCs w:val="24"/>
        </w:rPr>
        <w:t>ț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ionarea </w:t>
      </w:r>
      <w:r w:rsidR="00594073">
        <w:rPr>
          <w:rFonts w:ascii="TimesNewRoman" w:hAnsi="TimesNewRoman" w:cs="TimesNewRoman"/>
          <w:sz w:val="24"/>
          <w:szCs w:val="24"/>
        </w:rPr>
        <w:t>B</w:t>
      </w:r>
      <w:r w:rsidR="00594073" w:rsidRPr="00594073">
        <w:rPr>
          <w:rFonts w:ascii="TimesNewRoman" w:hAnsi="TimesNewRoman" w:cs="TimesNewRoman"/>
          <w:sz w:val="24"/>
          <w:szCs w:val="24"/>
        </w:rPr>
        <w:t>azinului</w:t>
      </w:r>
      <w:r w:rsidR="00594073">
        <w:rPr>
          <w:rFonts w:ascii="TimesNewRoman" w:hAnsi="TimesNewRoman" w:cs="TimesNewRoman"/>
          <w:sz w:val="24"/>
          <w:szCs w:val="24"/>
        </w:rPr>
        <w:t xml:space="preserve"> didactic</w:t>
      </w:r>
      <w:r w:rsidR="00594073" w:rsidRPr="00594073">
        <w:rPr>
          <w:rFonts w:ascii="TimesNewRoman" w:hAnsi="TimesNewRoman" w:cs="TimesNewRoman"/>
          <w:sz w:val="24"/>
          <w:szCs w:val="24"/>
        </w:rPr>
        <w:t xml:space="preserve"> de </w:t>
      </w:r>
      <w:r w:rsidR="00594073">
        <w:rPr>
          <w:rFonts w:ascii="TimesNewRoman" w:hAnsi="TimesNewRoman" w:cs="TimesNewRoman"/>
          <w:sz w:val="24"/>
          <w:szCs w:val="24"/>
        </w:rPr>
        <w:t>î</w:t>
      </w:r>
      <w:r w:rsidR="00594073" w:rsidRPr="00594073">
        <w:rPr>
          <w:rFonts w:ascii="TimesNewRoman" w:hAnsi="TimesNewRoman" w:cs="TimesNewRoman"/>
          <w:sz w:val="24"/>
          <w:szCs w:val="24"/>
        </w:rPr>
        <w:t>not</w:t>
      </w:r>
      <w:r w:rsidR="00594073">
        <w:rPr>
          <w:rFonts w:ascii="TimesNewRoman" w:hAnsi="TimesNewRoman" w:cs="TimesNewRoman"/>
          <w:sz w:val="24"/>
          <w:szCs w:val="24"/>
        </w:rPr>
        <w:t>.</w:t>
      </w:r>
    </w:p>
    <w:p w:rsidR="00594073" w:rsidRDefault="00594073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Asigurarea infrastructurii pentru activitățile sportive cad în sarcina autorităților administrațiilor publice deoarece </w:t>
      </w:r>
      <w:r w:rsidRPr="00594073">
        <w:rPr>
          <w:rFonts w:ascii="TimesNewRoman" w:hAnsi="TimesNewRoman" w:cs="TimesNewRoman"/>
          <w:sz w:val="24"/>
          <w:szCs w:val="24"/>
        </w:rPr>
        <w:t>au obligația să sprijine sportul pentru toți și sportul de performan</w:t>
      </w:r>
      <w:r>
        <w:rPr>
          <w:rFonts w:ascii="TimesNewRoman" w:hAnsi="TimesNewRoman" w:cs="TimesNewRoman"/>
          <w:sz w:val="24"/>
          <w:szCs w:val="24"/>
        </w:rPr>
        <w:t>ță</w:t>
      </w:r>
      <w:r w:rsidRPr="00594073">
        <w:rPr>
          <w:rFonts w:ascii="TimesNewRoman" w:hAnsi="TimesNewRoman" w:cs="TimesNewRoman"/>
          <w:sz w:val="24"/>
          <w:szCs w:val="24"/>
        </w:rPr>
        <w:t xml:space="preserve"> și să asigure condițiile organizatorice și materiale de practicare a educației fizice și s</w:t>
      </w:r>
      <w:r>
        <w:rPr>
          <w:rFonts w:ascii="TimesNewRoman" w:hAnsi="TimesNewRoman" w:cs="TimesNewRoman"/>
          <w:sz w:val="24"/>
          <w:szCs w:val="24"/>
        </w:rPr>
        <w:t>portului în comunitățile locale, potrivit prevederilor Legii nr. 69/2000 privind educația</w:t>
      </w:r>
      <w:r w:rsidRPr="00594073">
        <w:rPr>
          <w:rFonts w:ascii="TimesNewRoman" w:hAnsi="TimesNewRoman" w:cs="TimesNewRoman"/>
          <w:sz w:val="24"/>
          <w:szCs w:val="24"/>
        </w:rPr>
        <w:t xml:space="preserve"> fizic</w:t>
      </w:r>
      <w:r>
        <w:rPr>
          <w:rFonts w:ascii="TimesNewRoman" w:hAnsi="TimesNewRoman" w:cs="TimesNewRoman"/>
          <w:sz w:val="24"/>
          <w:szCs w:val="24"/>
        </w:rPr>
        <w:t>ă și sportul.</w:t>
      </w:r>
    </w:p>
    <w:p w:rsidR="00594073" w:rsidRDefault="00594073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Pentru ca acest Bazin didactic de înot să poată funcționa este necesar a se stabili și taxele și tarifele care vor fi </w:t>
      </w:r>
      <w:r w:rsidR="006675FA">
        <w:rPr>
          <w:rFonts w:ascii="TimesNewRoman" w:hAnsi="TimesNewRoman" w:cs="TimesNewRoman"/>
          <w:sz w:val="24"/>
          <w:szCs w:val="24"/>
        </w:rPr>
        <w:t xml:space="preserve">aplicate în vederea susținerii unei părți din cheltuielile ocazioate, astfel că în conformitate cu prevederile art. 484, alin. (1) – (3) din Legea nr. 227/2015 privind codul fiscal, </w:t>
      </w:r>
      <w:r w:rsidR="006675FA" w:rsidRPr="006675FA">
        <w:rPr>
          <w:rFonts w:ascii="TimesNewRoman" w:hAnsi="TimesNewRoman" w:cs="TimesNewRoman"/>
          <w:sz w:val="24"/>
          <w:szCs w:val="24"/>
        </w:rPr>
        <w:t xml:space="preserve">consiliile localepot adopta taxe speciale pentru serviciile publice locale, precum şi cuantumul acestora </w:t>
      </w:r>
      <w:r w:rsidR="006675FA">
        <w:rPr>
          <w:rFonts w:ascii="TimesNewRoman" w:hAnsi="TimesNewRoman" w:cs="TimesNewRoman"/>
          <w:sz w:val="24"/>
          <w:szCs w:val="24"/>
        </w:rPr>
        <w:t xml:space="preserve">și </w:t>
      </w:r>
      <w:r w:rsidR="006675FA" w:rsidRPr="006675FA">
        <w:rPr>
          <w:rFonts w:ascii="TimesNewRoman" w:hAnsi="TimesNewRoman" w:cs="TimesNewRoman"/>
          <w:sz w:val="24"/>
          <w:szCs w:val="24"/>
        </w:rPr>
        <w:t>se stabilesc în conformitate cu prevederile Legii nr. 273/2006 privind finanţele publice locale, cu modificările şi completările ulterioare.</w:t>
      </w:r>
    </w:p>
    <w:p w:rsidR="006675FA" w:rsidRDefault="006675FA" w:rsidP="00667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Taxele și tarifele necesare a fi adoptate sunt următoarele:</w:t>
      </w:r>
    </w:p>
    <w:tbl>
      <w:tblPr>
        <w:tblStyle w:val="TableGrid"/>
        <w:tblW w:w="9039" w:type="dxa"/>
        <w:tblLook w:val="04A0"/>
      </w:tblPr>
      <w:tblGrid>
        <w:gridCol w:w="1101"/>
        <w:gridCol w:w="4820"/>
        <w:gridCol w:w="3118"/>
      </w:tblGrid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.      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Tarif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persoană</w:t>
            </w:r>
            <w:proofErr w:type="spellEnd"/>
          </w:p>
        </w:tc>
      </w:tr>
      <w:tr w:rsidR="00AE3F5C" w:rsidRPr="00AE3F5C" w:rsidTr="001C5181">
        <w:tc>
          <w:tcPr>
            <w:tcW w:w="9039" w:type="dxa"/>
            <w:gridSpan w:val="3"/>
            <w:shd w:val="clear" w:color="auto" w:fill="C6D9F1" w:themeFill="text2" w:themeFillTint="33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Preț</w:t>
            </w:r>
            <w:proofErr w:type="spellEnd"/>
            <w:r w:rsidR="00456990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bilet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(1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ședință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)</w:t>
            </w:r>
          </w:p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Adulți</w:t>
            </w:r>
            <w:proofErr w:type="spellEnd"/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15 lei</w:t>
            </w: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Elevi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Studenți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Pensionari</w:t>
            </w:r>
            <w:proofErr w:type="spellEnd"/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12 lei</w:t>
            </w: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Grupuri</w:t>
            </w:r>
            <w:proofErr w:type="spellEnd"/>
            <w:r w:rsidR="00CE2BB7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organizate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 (minim 10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persoane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)                                         </w:t>
            </w:r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8 lei /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persoana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grup</w:t>
            </w:r>
            <w:proofErr w:type="spellEnd"/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Persoane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cu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handicap</w:t>
            </w:r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Gratuit</w:t>
            </w:r>
            <w:proofErr w:type="spellEnd"/>
          </w:p>
        </w:tc>
      </w:tr>
      <w:tr w:rsidR="00AE3F5C" w:rsidRPr="00AE3F5C" w:rsidTr="001C5181">
        <w:tc>
          <w:tcPr>
            <w:tcW w:w="9039" w:type="dxa"/>
            <w:gridSpan w:val="3"/>
            <w:shd w:val="clear" w:color="auto" w:fill="C6D9F1" w:themeFill="text2" w:themeFillTint="33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Preț</w:t>
            </w:r>
            <w:proofErr w:type="spellEnd"/>
            <w:r w:rsidR="00456990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abonament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(10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ședințe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)</w:t>
            </w:r>
          </w:p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Adulți</w:t>
            </w:r>
            <w:proofErr w:type="spellEnd"/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100 lei</w:t>
            </w: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Elevi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Studenți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Pensionari</w:t>
            </w:r>
            <w:proofErr w:type="spellEnd"/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85 lei</w:t>
            </w:r>
          </w:p>
        </w:tc>
      </w:tr>
      <w:tr w:rsidR="00AE3F5C" w:rsidRPr="00AE3F5C" w:rsidTr="001C5181">
        <w:tc>
          <w:tcPr>
            <w:tcW w:w="9039" w:type="dxa"/>
            <w:gridSpan w:val="3"/>
            <w:shd w:val="clear" w:color="auto" w:fill="C6D9F1" w:themeFill="text2" w:themeFillTint="33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Preț</w:t>
            </w:r>
            <w:proofErr w:type="spellEnd"/>
            <w:r w:rsidR="00456990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abonament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 xml:space="preserve"> (20 </w:t>
            </w:r>
            <w:proofErr w:type="spellStart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ședințe</w:t>
            </w:r>
            <w:proofErr w:type="spellEnd"/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)</w:t>
            </w:r>
          </w:p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Adult</w:t>
            </w:r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175 lei</w:t>
            </w:r>
          </w:p>
        </w:tc>
      </w:tr>
      <w:tr w:rsidR="00AE3F5C" w:rsidRPr="00AE3F5C" w:rsidTr="001C5181">
        <w:tc>
          <w:tcPr>
            <w:tcW w:w="1101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Elevi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Studenți</w:t>
            </w:r>
            <w:proofErr w:type="spellEnd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Pensionari</w:t>
            </w:r>
            <w:proofErr w:type="spellEnd"/>
          </w:p>
        </w:tc>
        <w:tc>
          <w:tcPr>
            <w:tcW w:w="3118" w:type="dxa"/>
          </w:tcPr>
          <w:p w:rsidR="00AE3F5C" w:rsidRPr="00AE3F5C" w:rsidRDefault="00AE3F5C" w:rsidP="00AE3F5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AE3F5C">
              <w:rPr>
                <w:rFonts w:ascii="TimesNewRoman" w:hAnsi="TimesNewRoman" w:cs="TimesNewRoman"/>
                <w:sz w:val="24"/>
                <w:szCs w:val="24"/>
                <w:lang w:val="en-US"/>
              </w:rPr>
              <w:t>150 lei</w:t>
            </w:r>
          </w:p>
        </w:tc>
      </w:tr>
    </w:tbl>
    <w:p w:rsidR="009343F7" w:rsidRDefault="00FA4D8E" w:rsidP="00AE3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Față de cele prezentate mai sus </w:t>
      </w:r>
      <w:r w:rsidR="00670327">
        <w:rPr>
          <w:rFonts w:ascii="Times New Roman" w:hAnsi="Times New Roman" w:cs="Times New Roman"/>
          <w:sz w:val="24"/>
          <w:szCs w:val="24"/>
        </w:rPr>
        <w:t xml:space="preserve">este necesară adoptarea unei hotărâri prin care să se aprobe </w:t>
      </w:r>
      <w:r w:rsidR="00C065EB" w:rsidRPr="00C065EB">
        <w:rPr>
          <w:rFonts w:ascii="Times New Roman" w:hAnsi="Times New Roman" w:cs="Times New Roman"/>
          <w:sz w:val="24"/>
          <w:szCs w:val="24"/>
        </w:rPr>
        <w:t>Regulamentul de funcționare, întreținere și exploatare a imobilului: Bazin Didactic de înot, precum și a tarifelor ce se vor aplica în desfășurarea activității</w:t>
      </w:r>
      <w:r w:rsidR="00670327">
        <w:rPr>
          <w:rFonts w:ascii="Times New Roman" w:hAnsi="Times New Roman" w:cs="Times New Roman"/>
          <w:sz w:val="24"/>
          <w:szCs w:val="24"/>
        </w:rPr>
        <w:t xml:space="preserve">, drept pentru care </w:t>
      </w:r>
      <w:r w:rsidR="00891224">
        <w:rPr>
          <w:rFonts w:ascii="Times New Roman" w:hAnsi="Times New Roman" w:cs="Times New Roman"/>
          <w:sz w:val="24"/>
          <w:szCs w:val="24"/>
        </w:rPr>
        <w:t>supun spre analiză și aprobare Consiliului Local al Municipiului Marghita</w:t>
      </w:r>
      <w:r w:rsidR="00670327">
        <w:rPr>
          <w:rFonts w:ascii="Times New Roman" w:hAnsi="Times New Roman" w:cs="Times New Roman"/>
          <w:sz w:val="24"/>
          <w:szCs w:val="24"/>
        </w:rPr>
        <w:t xml:space="preserve"> proiectul inițiat.</w:t>
      </w:r>
    </w:p>
    <w:p w:rsidR="00AE3F5C" w:rsidRPr="00AE3F5C" w:rsidRDefault="00AE3F5C" w:rsidP="00AE3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C3B67" w:rsidRDefault="004C3B67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91224" w:rsidRPr="004F1734" w:rsidRDefault="004C3B67" w:rsidP="00C06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67">
        <w:rPr>
          <w:rFonts w:ascii="Times New Roman" w:hAnsi="Times New Roman" w:cs="Times New Roman"/>
          <w:b/>
          <w:sz w:val="24"/>
          <w:szCs w:val="24"/>
        </w:rPr>
        <w:t>Marcel-Emil SAS-ADĂSCĂLIŢII</w:t>
      </w:r>
    </w:p>
    <w:sectPr w:rsidR="00891224" w:rsidRPr="004F1734" w:rsidSect="00AE3F5C">
      <w:pgSz w:w="11906" w:h="16838"/>
      <w:pgMar w:top="426" w:right="566" w:bottom="18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1620B3"/>
    <w:rsid w:val="001F524E"/>
    <w:rsid w:val="002729A4"/>
    <w:rsid w:val="00316206"/>
    <w:rsid w:val="00316C72"/>
    <w:rsid w:val="00442DAF"/>
    <w:rsid w:val="00456990"/>
    <w:rsid w:val="004C3B67"/>
    <w:rsid w:val="004D0055"/>
    <w:rsid w:val="004F1734"/>
    <w:rsid w:val="00535BD6"/>
    <w:rsid w:val="00594073"/>
    <w:rsid w:val="005F7885"/>
    <w:rsid w:val="00663696"/>
    <w:rsid w:val="006675FA"/>
    <w:rsid w:val="00670327"/>
    <w:rsid w:val="006B7D09"/>
    <w:rsid w:val="00891224"/>
    <w:rsid w:val="009343F7"/>
    <w:rsid w:val="00A3436E"/>
    <w:rsid w:val="00A428A6"/>
    <w:rsid w:val="00A4349F"/>
    <w:rsid w:val="00AB1796"/>
    <w:rsid w:val="00AB57E3"/>
    <w:rsid w:val="00AC62FD"/>
    <w:rsid w:val="00AE3F5C"/>
    <w:rsid w:val="00BD4EE2"/>
    <w:rsid w:val="00C065EB"/>
    <w:rsid w:val="00C947FF"/>
    <w:rsid w:val="00CE2BB7"/>
    <w:rsid w:val="00D05D34"/>
    <w:rsid w:val="00E8144D"/>
    <w:rsid w:val="00F1361B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496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20</cp:revision>
  <dcterms:created xsi:type="dcterms:W3CDTF">2022-10-25T13:04:00Z</dcterms:created>
  <dcterms:modified xsi:type="dcterms:W3CDTF">2023-04-27T05:50:00Z</dcterms:modified>
</cp:coreProperties>
</file>