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ROMÂNIA                                                                </w:t>
        <w:tab/>
        <w:t xml:space="preserve">AVIZAT PRIMAR,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JUDE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ŢUL CLUJ                                                        </w:t>
        <w:tab/>
        <w:t xml:space="preserve">ZENG IOAN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COMUNA MIHAI VITEAZU                                             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NR.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.2023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RAPORT DE SPECIALITATE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privind execu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ţia bugetului de venituri şi cheltuieli al Comunei Mihai Viteazu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.2023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Conform  prevederilor Legii nr.273/2006 privind finantele publice locale cu modificarile si completarile ulterioare, art. 49, alin. 12,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in lunile aprilie, iulie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şi octombrie, pentru trimestrul expirat, şi cel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ârziu în decembrie, pentru trimestrul al patrulea, ordonatorii principali de credite au obliga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ţia de a prezenta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şedinţă publică, spre analiză şi aprobare de către autorităţile deliberative, execuţia bugetelor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întocmite pe cele dou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ă secţiuni, cu excepţia bugetului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împrumuturilor externe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şi interne, cu scopul de a redimensiona cheltuielile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 raport cu gradul de colectare a veniturilor, prin rectificare bugetar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ă locală, astfel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încât la sfâr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şitul anului: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66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ă nu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înregistreze pl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ăţi restante;</w:t>
      </w:r>
    </w:p>
    <w:p>
      <w:pPr>
        <w:spacing w:before="0" w:after="0" w:line="240"/>
        <w:ind w:right="0" w:left="66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 b) diferen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ţa dintre suma veniturilor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încasate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şi excedentul anilor anteriori utilizat pentru finanţarea exerciţiului bugetar curent, pe de o parte, şi suma plăţilor efectuate şi a plăţilor restante, pe de altă parte, să fie mai mare dec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ât zero.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Contul de execu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ţie la 30.06.2023 al bugetului local al COMUNEI MIHAI VITEAZU este prezentat pe cele două secţiuni, astfel:</w:t>
      </w:r>
    </w:p>
    <w:p>
      <w:pPr>
        <w:tabs>
          <w:tab w:val="left" w:pos="175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tabs>
          <w:tab w:val="left" w:pos="1728" w:leader="none"/>
        </w:tabs>
        <w:spacing w:before="0" w:after="0" w:line="240"/>
        <w:ind w:right="0" w:left="1728" w:hanging="10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 venituri: prevederi bugetare anuale, prevederi bugetare trimestriale, incasari realizate;</w:t>
      </w:r>
    </w:p>
    <w:p>
      <w:pPr>
        <w:spacing w:before="0" w:after="0" w:line="240"/>
        <w:ind w:right="0" w:left="172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tabs>
          <w:tab w:val="left" w:pos="1728" w:leader="none"/>
        </w:tabs>
        <w:spacing w:before="0" w:after="0" w:line="240"/>
        <w:ind w:right="0" w:left="1728" w:hanging="10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 cheltuieli : prevederi  bugetare anuale, prevederi bugetare trimestriale, 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ăţi efectuate.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Executia bugetului de venituri si cheltuieli al Comunei Mihai Viteazu pentru trim.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al anului 2023 s-a efectuat prin Trezoreria Municipiului Turda, prin evidentierea in conturi distincte a veniturilor incasate si a cheltuielilor efectuate, pe categorii de surse de finantare si pe cele doua sectiuni: sectiunea de functionare si sectiunea de dezvoltare.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Sectiunea de functionare, parte de baza obligatorie a bugetelor, prezinta situatia veniturilor necesare finantarii cheltuielilor curente si platile efectuate pana la data de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.2023, angajate si utilizate in corelatie cu veniturile incasate.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Sectiunea de dezvoltare, cuprinde veniturile si cheltuielile aferente programului investitional, in limitele angajamentelor legale si bugetare ce au fost asumate pentru acest an bugetar.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In aceasta perioada, procesul bugetar s-a derulat in limitele creditelor bugetare autorizate pe fiecare categorie de cheltuieli cu respectarea prevederilor Legii 273/2006 privind finantele publice locale, referitoare la executia bugetara.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Veniturile totale incasate la bugetul local al Comunei Mihai Viteazu la data de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.2023 sunt in suma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La partea de cheltuieli totale, Comuna Mihai Viteazu a inregistrat la data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.2023 plati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din bugetul local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 suma totala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7.194.159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Ponderea sectiunii de functionare determinata ca raport intre platile sectiunii de functionare si totalul platilor aferente bugetului local este de 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%.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Ponderea sectiunii de dezvoltare determinata ca raport intre platile sectiunii de dezvoltare si totalul platilor aferente bugetului local este de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6,21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%.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Astfel la incheierea trimestrului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al anului 2023 s-au inregistrat plati in suma 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7.194.159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lei, acestea fiind defalcate dupa cum urmeaza: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3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Cheltuieli de personal </w:t>
        <w:tab/>
        <w:tab/>
        <w:tab/>
        <w:t xml:space="preserve">=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590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846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</w:p>
    <w:p>
      <w:pPr>
        <w:numPr>
          <w:ilvl w:val="0"/>
          <w:numId w:val="13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Bunuri si servicii </w:t>
        <w:tab/>
        <w:tab/>
        <w:tab/>
        <w:tab/>
        <w:t xml:space="preserve">=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1.622.797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</w:p>
    <w:p>
      <w:pPr>
        <w:numPr>
          <w:ilvl w:val="0"/>
          <w:numId w:val="13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Alte cheltuieli(burse, programe tineret)</w:t>
        <w:tab/>
        <w:t xml:space="preserve">=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461.504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</w:p>
    <w:p>
      <w:pPr>
        <w:numPr>
          <w:ilvl w:val="0"/>
          <w:numId w:val="13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Asistenta sociala </w:t>
        <w:tab/>
        <w:tab/>
        <w:tab/>
        <w:tab/>
        <w:t xml:space="preserve">=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678.759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</w:p>
    <w:p>
      <w:pPr>
        <w:numPr>
          <w:ilvl w:val="0"/>
          <w:numId w:val="13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Plati efectuate in anii precedenti si </w:t>
      </w:r>
    </w:p>
    <w:p>
      <w:pPr>
        <w:spacing w:before="0" w:after="0" w:line="240"/>
        <w:ind w:right="0" w:left="106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recuperate in anul curent </w:t>
        <w:tab/>
        <w:tab/>
        <w:tab/>
        <w:t xml:space="preserve">=    - 90.332 lei</w:t>
      </w:r>
    </w:p>
    <w:p>
      <w:pPr>
        <w:numPr>
          <w:ilvl w:val="0"/>
          <w:numId w:val="15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Proiecte cu finantare din fonduri externe =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776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lei</w:t>
      </w:r>
    </w:p>
    <w:p>
      <w:pPr>
        <w:numPr>
          <w:ilvl w:val="0"/>
          <w:numId w:val="15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Proiecte din PNRR</w:t>
        <w:tab/>
        <w:tab/>
        <w:tab/>
        <w:tab/>
        <w:t xml:space="preserve">=        6.150 lei</w:t>
      </w:r>
    </w:p>
    <w:p>
      <w:pPr>
        <w:numPr>
          <w:ilvl w:val="0"/>
          <w:numId w:val="15"/>
        </w:numPr>
        <w:spacing w:before="0" w:after="0" w:line="240"/>
        <w:ind w:right="0" w:left="106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Cheltuieli de capital </w:t>
        <w:tab/>
        <w:tab/>
        <w:tab/>
        <w:tab/>
        <w:t xml:space="preserve">=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1.839.659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lei</w:t>
      </w:r>
    </w:p>
    <w:p>
      <w:pPr>
        <w:tabs>
          <w:tab w:val="left" w:pos="1750" w:leader="none"/>
        </w:tabs>
        <w:spacing w:before="0" w:after="0" w:line="240"/>
        <w:ind w:right="0" w:left="1065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 finele trimestrului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2023  nu s-au înregistrat 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ăţi restante.</w:t>
      </w:r>
    </w:p>
    <w:p>
      <w:pPr>
        <w:spacing w:before="0" w:after="0" w:line="240"/>
        <w:ind w:right="0" w:left="0" w:firstLine="70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Compartimentul financiar contabil propune spre aprobare contul de executie pe trimestrul 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2023 conform anexelor: 1,2,3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şi 4  la prezentul raport.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În temeiul prevederilor art. 136 alin.(8), pct.b), din OUG nr. 57/2019, privind Codul Administrativ,  serviciul financiar contabil emite prezentul raport  al compartimentului de specialitate din cadrul aparatului propriu al primarului comunei  Mihai Viteazu , necesar aprob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ării proiectului de hotăr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âre.</w:t>
      </w:r>
    </w:p>
    <w:p>
      <w:pPr>
        <w:tabs>
          <w:tab w:val="left" w:pos="8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Consilier superior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  <w:tab/>
        <w:t xml:space="preserve">Marian Elena Maria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9">
    <w:abstractNumId w:val="18"/>
  </w:num>
  <w:num w:numId="11">
    <w:abstractNumId w:val="12"/>
  </w:num>
  <w:num w:numId="13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