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D54" w:rsidRPr="00860D69" w:rsidRDefault="00783D54" w:rsidP="00783D54">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ANEXĂ la HCL  nr. 167 din 09.08.2023 </w:t>
      </w:r>
    </w:p>
    <w:p w:rsidR="00783D54" w:rsidRPr="00860D69" w:rsidRDefault="00783D54" w:rsidP="00783D54">
      <w:pPr>
        <w:spacing w:after="0" w:line="240" w:lineRule="auto"/>
        <w:rPr>
          <w:rFonts w:ascii="Times New Roman" w:hAnsi="Times New Roman" w:cs="Times New Roman"/>
          <w:sz w:val="24"/>
          <w:szCs w:val="24"/>
        </w:rPr>
      </w:pPr>
    </w:p>
    <w:p w:rsidR="00783D54" w:rsidRPr="00860D69" w:rsidRDefault="00783D54" w:rsidP="00783D54">
      <w:pPr>
        <w:spacing w:after="0" w:line="240" w:lineRule="auto"/>
        <w:rPr>
          <w:rFonts w:ascii="Times New Roman" w:hAnsi="Times New Roman" w:cs="Times New Roman"/>
          <w:b/>
          <w:bCs/>
          <w:sz w:val="24"/>
          <w:szCs w:val="24"/>
          <w:u w:val="single"/>
        </w:rPr>
      </w:pPr>
      <w:r w:rsidRPr="00860D69">
        <w:rPr>
          <w:rFonts w:ascii="Times New Roman" w:hAnsi="Times New Roman" w:cs="Times New Roman"/>
          <w:b/>
          <w:bCs/>
          <w:sz w:val="24"/>
          <w:szCs w:val="24"/>
          <w:u w:val="single"/>
        </w:rPr>
        <w:t>DESCRIEREA INVESTIȚIEI:</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Prezentul proiect urmărește modernizarea tronsoanele aferente străzilor Cloșca (cf. nr. 104774), Irinyi János (cf nr. 103289), Harag György (cf. nr. 103288), Pop Mircea (cf. nr. 103294), Iosif Vulcan (cf. nr. 103192), 1 Decembrie (cf. nr. 105179), Jean Calvin (cf. nr. 105292), Nicolae Bălcescu (cf. nr. 104990, 105293), Horea (cf. nr. 105294), Bujorului (cf.nr. 105946), Progresului (cf. nr. 106083), Unirii (cf. nr. 106080), Ion Luca Caragiale (cf. nr. 105177), Lăcrimioarelor (cf.nr. 105939), Oasului (cf. nr. 105938) și strada de legătură între Calea Republicii și Str. Nicolae Bălcescu (cf.nr. 105960). Proiectul va schimba regimul de trafic pe 10 km de străzi cu regândirea unei piețe publice dinspre transportul orientat pe automobil și asigurarea de locuri de parcare spre zone pietonale de înaltă calitate, spații utilizate la comun (shared-space) sau coridoare exclusiv pentru transportul public și deplasări nemotorizate în cadrul inelului interior și introducerea unui serviciu de închiriere biciclete.</w:t>
      </w:r>
    </w:p>
    <w:p w:rsidR="00783D54" w:rsidRPr="00860D69" w:rsidRDefault="00783D54" w:rsidP="00783D54">
      <w:pPr>
        <w:spacing w:after="0" w:line="240" w:lineRule="auto"/>
        <w:jc w:val="both"/>
        <w:rPr>
          <w:rFonts w:ascii="Times New Roman" w:hAnsi="Times New Roman" w:cs="Times New Roman"/>
          <w:sz w:val="24"/>
          <w:szCs w:val="24"/>
        </w:rPr>
      </w:pP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b/>
          <w:bCs/>
          <w:sz w:val="24"/>
          <w:szCs w:val="24"/>
        </w:rPr>
        <w:t xml:space="preserve">Necesitatea și oportunitatea investiției </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xml:space="preserve">Necesitatea implementării acestui proiect este dată de următoarele: </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i/>
          <w:iCs/>
          <w:sz w:val="24"/>
          <w:szCs w:val="24"/>
        </w:rPr>
        <w:t xml:space="preserve">Promovarea transportului prietenos cu mediul: </w:t>
      </w:r>
    </w:p>
    <w:p w:rsidR="00783D54" w:rsidRPr="00860D69" w:rsidRDefault="00783D54" w:rsidP="00783D54">
      <w:pPr>
        <w:numPr>
          <w:ilvl w:val="0"/>
          <w:numId w:val="1"/>
        </w:num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xml:space="preserve">dezvoltarea sistemelor de transport public; </w:t>
      </w:r>
    </w:p>
    <w:p w:rsidR="00783D54" w:rsidRPr="00860D69" w:rsidRDefault="00783D54" w:rsidP="00783D54">
      <w:pPr>
        <w:numPr>
          <w:ilvl w:val="0"/>
          <w:numId w:val="1"/>
        </w:num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xml:space="preserve">promovarea unor forme de transport alternativ; </w:t>
      </w:r>
    </w:p>
    <w:p w:rsidR="00783D54" w:rsidRPr="00860D69" w:rsidRDefault="00783D54" w:rsidP="00783D54">
      <w:pPr>
        <w:numPr>
          <w:ilvl w:val="0"/>
          <w:numId w:val="1"/>
        </w:num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xml:space="preserve">măsuri de implementare a planurilor de transport </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i/>
          <w:iCs/>
          <w:sz w:val="24"/>
          <w:szCs w:val="24"/>
        </w:rPr>
        <w:t xml:space="preserve">Modernizarea și dezvoltarea infrastucturii de transport în special în zonele urbane: </w:t>
      </w:r>
    </w:p>
    <w:p w:rsidR="00783D54" w:rsidRPr="00860D69" w:rsidRDefault="00783D54" w:rsidP="00783D54">
      <w:pPr>
        <w:numPr>
          <w:ilvl w:val="0"/>
          <w:numId w:val="1"/>
        </w:num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Dezvoltarea coridoarelor de mobilitate urbană durabilă, prin intervenții precum: Dezvoltarea benzilor dedicate pentru transportul public respectiv modernizarea infrastructurii rutiere utilizate prioritar de transportul public urban curat de călători, în vederea dezvoltării unor trasee dedicate cu prioritate acestuia.</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xml:space="preserve">Obiectivul de investiție are drept scop principal reducerea emisiilor poluante generate prin transportul rutier motorizat la nivelul municipiului Marghita, jud. Bihor. De asemenea se dorește promovarea mobilității urbane multimodale, prin crearea unui nou coridor de mobilitate integrat, care cuprinde: </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Segoe UI Symbol" w:cs="Times New Roman"/>
          <w:sz w:val="24"/>
          <w:szCs w:val="24"/>
        </w:rPr>
        <w:t>✓</w:t>
      </w:r>
      <w:r w:rsidRPr="00860D69">
        <w:rPr>
          <w:rFonts w:ascii="Times New Roman" w:hAnsi="Times New Roman" w:cs="Times New Roman"/>
          <w:sz w:val="24"/>
          <w:szCs w:val="24"/>
        </w:rPr>
        <w:t xml:space="preserve"> piste pentru biciclete;</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Segoe UI Symbol" w:cs="Times New Roman"/>
          <w:sz w:val="24"/>
          <w:szCs w:val="24"/>
        </w:rPr>
        <w:t>✓</w:t>
      </w:r>
      <w:r w:rsidRPr="00860D69">
        <w:rPr>
          <w:rFonts w:ascii="Times New Roman" w:hAnsi="Times New Roman" w:cs="Times New Roman"/>
          <w:sz w:val="24"/>
          <w:szCs w:val="24"/>
        </w:rPr>
        <w:t xml:space="preserve"> trasee pentru mijloace de transport în comun (inclusiv microbuze electrice), cu stații moderne; </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Segoe UI Symbol" w:cs="Times New Roman"/>
          <w:sz w:val="24"/>
          <w:szCs w:val="24"/>
        </w:rPr>
        <w:t>✓</w:t>
      </w:r>
      <w:r w:rsidRPr="00860D69">
        <w:rPr>
          <w:rFonts w:ascii="Times New Roman" w:hAnsi="Times New Roman" w:cs="Times New Roman"/>
          <w:sz w:val="24"/>
          <w:szCs w:val="24"/>
        </w:rPr>
        <w:t xml:space="preserve"> stații de încărcare rapidă a vehiculelor electrice; </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Segoe UI Symbol" w:cs="Times New Roman"/>
          <w:sz w:val="24"/>
          <w:szCs w:val="24"/>
        </w:rPr>
        <w:t>✓</w:t>
      </w:r>
      <w:r w:rsidRPr="00860D69">
        <w:rPr>
          <w:rFonts w:ascii="Times New Roman" w:hAnsi="Times New Roman" w:cs="Times New Roman"/>
          <w:sz w:val="24"/>
          <w:szCs w:val="24"/>
        </w:rPr>
        <w:t xml:space="preserve"> extinderea spațiilor verzi; </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Segoe UI Symbol" w:cs="Times New Roman"/>
          <w:sz w:val="24"/>
          <w:szCs w:val="24"/>
        </w:rPr>
        <w:t>✓</w:t>
      </w:r>
      <w:r w:rsidRPr="00860D69">
        <w:rPr>
          <w:rFonts w:ascii="Times New Roman" w:hAnsi="Times New Roman" w:cs="Times New Roman"/>
          <w:sz w:val="24"/>
          <w:szCs w:val="24"/>
        </w:rPr>
        <w:t xml:space="preserve"> crearea de spații destinate circulației pietonale. </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Segoe UI Symbol" w:cs="Times New Roman"/>
          <w:sz w:val="24"/>
          <w:szCs w:val="24"/>
        </w:rPr>
        <w:t>✓</w:t>
      </w:r>
      <w:r w:rsidRPr="00860D69">
        <w:rPr>
          <w:rFonts w:ascii="Times New Roman" w:hAnsi="Times New Roman" w:cs="Times New Roman"/>
          <w:sz w:val="24"/>
          <w:szCs w:val="24"/>
        </w:rPr>
        <w:t xml:space="preserve"> introducerea de sisteme de bike-sharing; sisteme de monitorizare etc.;</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xml:space="preserve">Prezentul proiect se va desfăsura pe următoarele amplasamente: </w:t>
      </w:r>
    </w:p>
    <w:p w:rsidR="00783D54" w:rsidRPr="00860D69" w:rsidRDefault="00783D54" w:rsidP="00783D54">
      <w:pPr>
        <w:autoSpaceDE w:val="0"/>
        <w:autoSpaceDN w:val="0"/>
        <w:adjustRightInd w:val="0"/>
        <w:spacing w:after="0" w:line="240" w:lineRule="auto"/>
        <w:rPr>
          <w:rFonts w:ascii="Times New Roman" w:hAnsi="Times New Roman" w:cs="Times New Roman"/>
          <w:color w:val="000000"/>
          <w:sz w:val="24"/>
          <w:szCs w:val="24"/>
        </w:rPr>
      </w:pP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I.L. Caragiale-pornește de la intersecția cu străzile Arany Janos și Calea Republicii și merge până la ieșirea din localitate spre Suplacu de Barcău având lungimea de cca. 1053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Nicolae Bălcescu-pornește de la intersecția cu str. I.L. Caragiale și merge până la intersecția cu str. J. Calvin și str. Horea având lungimea de cca. 1105.5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Jean Calvin-pornește de la intersecția cu str. Nicolae Bălcescu și merge până la intersecția cu Calea Republicii având lungimea de cca. 73.5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Horea-pornește de la intersecția cu str. Nicolae Bălcescu și merge până la podul peste râul Inot având lungimea de cca. 663.5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Bujorului-pornește de la intersectia cu str. Arany Janos și merge până la intersecția cu str. I.L. Caragiale având lungimea de cca. 592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Progresului-pornește de la intersecția cu str. Petofi Sandor și merge până la intersecția cu str. Unirii având lungimea de cca. 1203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lastRenderedPageBreak/>
        <w:t xml:space="preserve">- Str. Unirii-pornește de la intersecția cu str. Tudor Vladimirescu și merge până la intersecția cu str. Progresului având lungimea de cca. 517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Lăcrimioarelor-pornește de la intersecția cu str. Oasului și merge până la intersecția cu str. Progresului având lungimea de cca. 303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Oașului-pornește de la intersecția cu str. Closca si Petofi Sandor și merge până la intersecția cu str. Lacrimioarelor având lungimea de cca. 103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Cloșca (tronson1 si tronson2)-tronson 1 de la intersectia cu str. Harag Gyorgy pana la intersectia cu str. Tudor Vladimirescu in lungime de cca. 487 m si tronson 2 de la intersectia cu str. Tudor Vladimirescu pana la intersectia cu str. Oasului si str. Petofi Sandor in lungime de cca. 236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Irinyi Janos-pornește de la intersecția cu str. Closca si str. Harag Gyorgy și merge până la intersecția cu str. Iosif Vulcan având lungimea de cca. 506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Iosif Vulcan-pornește de la intersecția cu str. 1 Decembrie 1918 și merge până la intersecția cu str. Iriny Janos având lungimea de cca. 743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Pop Mircea-pornește de la intersecția cu str. Iosif Vulcan și merge până la intersecția cu str. Harag Gyorgy având lungimea de cca. 500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Harag Gyorgy-pornește de la intersecția cu str. Closca tronson 1 și str. Irinyi Janos si se continua cu str. Pop Mircea având lungimea de cca. 226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 1 Decembrie 1918-pornește de la intersecția cu str. Jean Calvin și merge până la ieșirea din localitate spre Tășnad având lungimea de cca. 1212 m; </w:t>
      </w: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p>
    <w:p w:rsidR="00783D54" w:rsidRPr="00860D69" w:rsidRDefault="00783D54" w:rsidP="00783D54">
      <w:pPr>
        <w:autoSpaceDE w:val="0"/>
        <w:autoSpaceDN w:val="0"/>
        <w:adjustRightInd w:val="0"/>
        <w:spacing w:after="0" w:line="240" w:lineRule="auto"/>
        <w:jc w:val="both"/>
        <w:rPr>
          <w:rFonts w:ascii="Times New Roman" w:hAnsi="Times New Roman" w:cs="Times New Roman"/>
          <w:color w:val="000000"/>
          <w:sz w:val="24"/>
          <w:szCs w:val="24"/>
        </w:rPr>
      </w:pPr>
      <w:r w:rsidRPr="00860D69">
        <w:rPr>
          <w:rFonts w:ascii="Times New Roman" w:hAnsi="Times New Roman" w:cs="Times New Roman"/>
          <w:color w:val="000000"/>
          <w:sz w:val="24"/>
          <w:szCs w:val="24"/>
        </w:rPr>
        <w:t xml:space="preserve">- Stradă de legătură între Calea Republicii și str. Nicolae Bălcescu-pornește de la intersecția cu Calea Republicii și merge până la intersecția cu str. Nicolae Bălcescu având lungimea de cca. 181 m. </w:t>
      </w:r>
    </w:p>
    <w:p w:rsidR="00783D54" w:rsidRPr="00860D69" w:rsidRDefault="00783D54" w:rsidP="00783D54">
      <w:pPr>
        <w:spacing w:after="0" w:line="240" w:lineRule="auto"/>
        <w:jc w:val="both"/>
        <w:rPr>
          <w:rFonts w:ascii="Times New Roman" w:hAnsi="Times New Roman" w:cs="Times New Roman"/>
          <w:sz w:val="24"/>
          <w:szCs w:val="24"/>
        </w:rPr>
      </w:pPr>
    </w:p>
    <w:p w:rsidR="00783D54" w:rsidRPr="00860D69" w:rsidRDefault="00783D54" w:rsidP="00783D54">
      <w:pPr>
        <w:spacing w:after="0" w:line="240" w:lineRule="auto"/>
        <w:rPr>
          <w:rFonts w:ascii="Times New Roman" w:hAnsi="Times New Roman" w:cs="Times New Roman"/>
          <w:b/>
          <w:bCs/>
          <w:sz w:val="24"/>
          <w:szCs w:val="24"/>
          <w:u w:val="single"/>
        </w:rPr>
      </w:pPr>
      <w:r w:rsidRPr="00860D69">
        <w:rPr>
          <w:rFonts w:ascii="Times New Roman" w:hAnsi="Times New Roman" w:cs="Times New Roman"/>
          <w:b/>
          <w:bCs/>
          <w:sz w:val="24"/>
          <w:szCs w:val="24"/>
          <w:u w:val="single"/>
        </w:rPr>
        <w:t>INDICATORI TEHNICI:</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lungimea totală a străzilor proiectate – 9.217,5 m;</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trasee de microbuze în lungime totală de 6942 m;</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trasee de biciclete în lungime totală de 8.363,5 m;</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rețelele de canalizare pluvială în lungime de 9.015 m;</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cămine de vizitare: 235 buc.;</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xml:space="preserve">- pe str. 1 Decembrie, începând de la intersecția cu str. T. Vladimirescu: amplasarea a patru stâlpi metalici ornamentali h=4 m, echipați cu corpuri de iluminat LED 30W </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containere de depozitare biciclete (bike-sharing): 50 buc.;</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- 2 stații de incărcare rapide de 50kW fiecare;</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achiziționare 2 microbuze electrice;</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sistem supraveghere video montat în stațiile de microbuz și containerele de depozitare a bicicletelor (bike-sharing);</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- 37 buc. coșuri de gunoi;</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bănci cu spătar: 5 buc.;</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rastel pentru biciclete: 10 buc.;</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 adăpost pentru stații de microbuz: 10 buc.;</w:t>
      </w:r>
    </w:p>
    <w:p w:rsidR="00783D54" w:rsidRPr="00860D69" w:rsidRDefault="00783D54" w:rsidP="00783D54">
      <w:pPr>
        <w:spacing w:after="0" w:line="240" w:lineRule="auto"/>
        <w:rPr>
          <w:rFonts w:ascii="Times New Roman" w:hAnsi="Times New Roman" w:cs="Times New Roman"/>
          <w:b/>
          <w:bCs/>
          <w:sz w:val="24"/>
          <w:szCs w:val="24"/>
          <w:u w:val="single"/>
        </w:rPr>
      </w:pPr>
      <w:r w:rsidRPr="00860D69">
        <w:rPr>
          <w:rFonts w:ascii="Times New Roman" w:hAnsi="Times New Roman" w:cs="Times New Roman"/>
          <w:b/>
          <w:bCs/>
          <w:sz w:val="24"/>
          <w:szCs w:val="24"/>
          <w:u w:val="single"/>
        </w:rPr>
        <w:t>INDICATORI ECONOMICI:</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Valoarea totală a proiectului conform devizului general al proiectului ,,Realizarea unui coridor de mobilitate integrat în Municipiul Marghita-componenta 2” este de 76,811,052.33 lei la care se adaugă tva în cuantum de 14,452,352.23 lei, rezultând un total de 91,263,404.56 inclusiv tva, din care:</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Valoare eligibilă fără TVA în cuantum de: 75,838,960.03 lei</w:t>
      </w:r>
    </w:p>
    <w:p w:rsidR="00783D54" w:rsidRPr="00860D69" w:rsidRDefault="00783D54" w:rsidP="00783D54">
      <w:pPr>
        <w:spacing w:after="0" w:line="240" w:lineRule="auto"/>
        <w:jc w:val="both"/>
        <w:rPr>
          <w:rFonts w:ascii="Times New Roman" w:hAnsi="Times New Roman" w:cs="Times New Roman"/>
          <w:sz w:val="24"/>
          <w:szCs w:val="24"/>
        </w:rPr>
      </w:pPr>
      <w:r w:rsidRPr="00860D69">
        <w:rPr>
          <w:rFonts w:ascii="Times New Roman" w:hAnsi="Times New Roman" w:cs="Times New Roman"/>
          <w:sz w:val="24"/>
          <w:szCs w:val="24"/>
        </w:rPr>
        <w:t>Valoare neeligibilă fără TVA în cuantum de: 972,092.30 lei</w:t>
      </w:r>
    </w:p>
    <w:p w:rsidR="00783D54" w:rsidRPr="00860D69" w:rsidRDefault="00783D54" w:rsidP="00783D54">
      <w:pPr>
        <w:spacing w:after="0" w:line="240" w:lineRule="auto"/>
        <w:ind w:firstLine="708"/>
        <w:jc w:val="center"/>
        <w:rPr>
          <w:rFonts w:ascii="Times New Roman" w:eastAsia="Times New Roman" w:hAnsi="Times New Roman" w:cs="Times New Roman"/>
          <w:b/>
          <w:bCs/>
          <w:color w:val="FF0000"/>
          <w:sz w:val="24"/>
          <w:szCs w:val="24"/>
        </w:rPr>
      </w:pPr>
    </w:p>
    <w:p w:rsidR="00783D54" w:rsidRPr="00860D69" w:rsidRDefault="00783D54" w:rsidP="00783D54">
      <w:pPr>
        <w:suppressAutoHyphens/>
        <w:spacing w:after="0" w:line="240" w:lineRule="auto"/>
        <w:jc w:val="both"/>
        <w:rPr>
          <w:rFonts w:ascii="Times New Roman" w:eastAsia="Times New Roman" w:hAnsi="Times New Roman" w:cs="Times New Roman"/>
          <w:color w:val="FF000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2835"/>
        <w:gridCol w:w="3067"/>
      </w:tblGrid>
      <w:tr w:rsidR="00783D54" w:rsidRPr="00860D69" w:rsidTr="00837A0A">
        <w:trPr>
          <w:trHeight w:val="504"/>
        </w:trPr>
        <w:tc>
          <w:tcPr>
            <w:tcW w:w="4106" w:type="dxa"/>
            <w:tcBorders>
              <w:top w:val="single" w:sz="4" w:space="0" w:color="auto"/>
              <w:left w:val="single" w:sz="4" w:space="0" w:color="auto"/>
              <w:bottom w:val="single" w:sz="4" w:space="0" w:color="auto"/>
              <w:right w:val="single" w:sz="4" w:space="0" w:color="auto"/>
            </w:tcBorders>
          </w:tcPr>
          <w:p w:rsidR="00783D54" w:rsidRPr="00860D69" w:rsidRDefault="00783D54" w:rsidP="00837A0A">
            <w:pPr>
              <w:tabs>
                <w:tab w:val="right" w:pos="3544"/>
                <w:tab w:val="left" w:pos="3780"/>
              </w:tabs>
              <w:suppressAutoHyphens/>
              <w:spacing w:after="0" w:line="240" w:lineRule="auto"/>
              <w:ind w:firstLine="720"/>
              <w:jc w:val="both"/>
              <w:rPr>
                <w:rFonts w:ascii="Times New Roman" w:eastAsia="Times New Roman" w:hAnsi="Times New Roman" w:cs="Times New Roman"/>
                <w:b/>
                <w:sz w:val="24"/>
                <w:szCs w:val="24"/>
                <w:highlight w:val="yellow"/>
              </w:rPr>
            </w:pPr>
          </w:p>
        </w:tc>
        <w:tc>
          <w:tcPr>
            <w:tcW w:w="2835" w:type="dxa"/>
            <w:tcBorders>
              <w:top w:val="single" w:sz="4" w:space="0" w:color="auto"/>
              <w:left w:val="single" w:sz="4" w:space="0" w:color="auto"/>
              <w:bottom w:val="single" w:sz="4" w:space="0" w:color="auto"/>
              <w:right w:val="single" w:sz="4" w:space="0" w:color="auto"/>
            </w:tcBorders>
            <w:hideMark/>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b/>
                <w:sz w:val="24"/>
                <w:szCs w:val="24"/>
              </w:rPr>
            </w:pPr>
            <w:r w:rsidRPr="00860D69">
              <w:rPr>
                <w:rFonts w:ascii="Times New Roman" w:eastAsia="Times New Roman" w:hAnsi="Times New Roman" w:cs="Times New Roman"/>
                <w:b/>
                <w:sz w:val="24"/>
                <w:szCs w:val="24"/>
              </w:rPr>
              <w:t>Lei exclusiv TVA</w:t>
            </w:r>
          </w:p>
        </w:tc>
        <w:tc>
          <w:tcPr>
            <w:tcW w:w="3067" w:type="dxa"/>
            <w:tcBorders>
              <w:top w:val="single" w:sz="4" w:space="0" w:color="auto"/>
              <w:left w:val="single" w:sz="4" w:space="0" w:color="auto"/>
              <w:bottom w:val="single" w:sz="4" w:space="0" w:color="auto"/>
              <w:right w:val="single" w:sz="4" w:space="0" w:color="auto"/>
            </w:tcBorders>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b/>
                <w:sz w:val="24"/>
                <w:szCs w:val="24"/>
              </w:rPr>
            </w:pPr>
            <w:r w:rsidRPr="00860D69">
              <w:rPr>
                <w:rFonts w:ascii="Times New Roman" w:eastAsia="Times New Roman" w:hAnsi="Times New Roman" w:cs="Times New Roman"/>
                <w:b/>
                <w:sz w:val="24"/>
                <w:szCs w:val="24"/>
              </w:rPr>
              <w:t>Lei inclusiv TVA</w:t>
            </w:r>
          </w:p>
        </w:tc>
      </w:tr>
      <w:tr w:rsidR="00783D54" w:rsidRPr="00860D69" w:rsidTr="00837A0A">
        <w:trPr>
          <w:trHeight w:val="449"/>
        </w:trPr>
        <w:tc>
          <w:tcPr>
            <w:tcW w:w="4106" w:type="dxa"/>
            <w:tcBorders>
              <w:top w:val="single" w:sz="4" w:space="0" w:color="auto"/>
              <w:left w:val="single" w:sz="4" w:space="0" w:color="auto"/>
              <w:bottom w:val="single" w:sz="4" w:space="0" w:color="auto"/>
              <w:right w:val="single" w:sz="4" w:space="0" w:color="auto"/>
            </w:tcBorders>
            <w:hideMark/>
          </w:tcPr>
          <w:p w:rsidR="00783D54" w:rsidRPr="00860D69" w:rsidRDefault="00783D54" w:rsidP="00837A0A">
            <w:pPr>
              <w:tabs>
                <w:tab w:val="right" w:pos="3544"/>
                <w:tab w:val="left" w:pos="3780"/>
              </w:tabs>
              <w:suppressAutoHyphens/>
              <w:spacing w:after="0" w:line="240" w:lineRule="auto"/>
              <w:ind w:firstLine="432"/>
              <w:jc w:val="both"/>
              <w:rPr>
                <w:rFonts w:ascii="Times New Roman" w:eastAsia="Times New Roman" w:hAnsi="Times New Roman" w:cs="Times New Roman"/>
                <w:b/>
                <w:sz w:val="24"/>
                <w:szCs w:val="24"/>
              </w:rPr>
            </w:pPr>
            <w:r w:rsidRPr="00860D69">
              <w:rPr>
                <w:rFonts w:ascii="Times New Roman" w:eastAsia="Times New Roman" w:hAnsi="Times New Roman" w:cs="Times New Roman"/>
                <w:b/>
                <w:sz w:val="24"/>
                <w:szCs w:val="24"/>
              </w:rPr>
              <w:t xml:space="preserve">Valoarea totală a investiţiei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b/>
                <w:bCs/>
                <w:sz w:val="24"/>
                <w:szCs w:val="24"/>
                <w:highlight w:val="yellow"/>
              </w:rPr>
            </w:pPr>
            <w:r w:rsidRPr="00860D69">
              <w:rPr>
                <w:rFonts w:ascii="Times New Roman" w:hAnsi="Times New Roman" w:cs="Times New Roman"/>
                <w:sz w:val="24"/>
                <w:szCs w:val="24"/>
              </w:rPr>
              <w:t>76,811,052.33</w:t>
            </w:r>
          </w:p>
        </w:tc>
        <w:tc>
          <w:tcPr>
            <w:tcW w:w="3067" w:type="dxa"/>
            <w:tcBorders>
              <w:top w:val="single" w:sz="4" w:space="0" w:color="auto"/>
              <w:left w:val="single" w:sz="4" w:space="0" w:color="auto"/>
              <w:bottom w:val="single" w:sz="4" w:space="0" w:color="auto"/>
              <w:right w:val="single" w:sz="4" w:space="0" w:color="auto"/>
            </w:tcBorders>
            <w:shd w:val="clear" w:color="auto" w:fill="auto"/>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b/>
                <w:bCs/>
                <w:sz w:val="24"/>
                <w:szCs w:val="24"/>
                <w:lang w:eastAsia="ar-SA"/>
              </w:rPr>
            </w:pPr>
            <w:r w:rsidRPr="00860D69">
              <w:rPr>
                <w:rFonts w:ascii="Times New Roman" w:hAnsi="Times New Roman" w:cs="Times New Roman"/>
                <w:sz w:val="24"/>
                <w:szCs w:val="24"/>
              </w:rPr>
              <w:t>91,263,404.56</w:t>
            </w:r>
          </w:p>
        </w:tc>
      </w:tr>
      <w:tr w:rsidR="00783D54" w:rsidRPr="00860D69" w:rsidTr="00837A0A">
        <w:trPr>
          <w:trHeight w:val="425"/>
        </w:trPr>
        <w:tc>
          <w:tcPr>
            <w:tcW w:w="4106" w:type="dxa"/>
            <w:tcBorders>
              <w:top w:val="single" w:sz="4" w:space="0" w:color="auto"/>
              <w:left w:val="single" w:sz="4" w:space="0" w:color="auto"/>
              <w:bottom w:val="single" w:sz="4" w:space="0" w:color="auto"/>
              <w:right w:val="single" w:sz="4" w:space="0" w:color="auto"/>
            </w:tcBorders>
            <w:hideMark/>
          </w:tcPr>
          <w:p w:rsidR="00783D54" w:rsidRPr="00860D69" w:rsidRDefault="00783D54" w:rsidP="00837A0A">
            <w:pPr>
              <w:tabs>
                <w:tab w:val="right" w:pos="3544"/>
                <w:tab w:val="left" w:pos="3780"/>
              </w:tabs>
              <w:suppressAutoHyphens/>
              <w:spacing w:after="0" w:line="240" w:lineRule="auto"/>
              <w:ind w:firstLine="432"/>
              <w:jc w:val="center"/>
              <w:rPr>
                <w:rFonts w:ascii="Times New Roman" w:eastAsia="Times New Roman" w:hAnsi="Times New Roman" w:cs="Times New Roman"/>
                <w:sz w:val="24"/>
                <w:szCs w:val="24"/>
              </w:rPr>
            </w:pPr>
            <w:r w:rsidRPr="00860D69">
              <w:rPr>
                <w:rFonts w:ascii="Times New Roman" w:eastAsia="Times New Roman" w:hAnsi="Times New Roman" w:cs="Times New Roman"/>
                <w:sz w:val="24"/>
                <w:szCs w:val="24"/>
              </w:rPr>
              <w:t>din care C + M</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bCs/>
                <w:i/>
                <w:sz w:val="24"/>
                <w:szCs w:val="24"/>
                <w:highlight w:val="yellow"/>
              </w:rPr>
            </w:pPr>
            <w:r w:rsidRPr="00860D69">
              <w:rPr>
                <w:rFonts w:ascii="Times New Roman" w:eastAsia="Times New Roman" w:hAnsi="Times New Roman" w:cs="Times New Roman"/>
                <w:i/>
                <w:sz w:val="24"/>
                <w:szCs w:val="24"/>
              </w:rPr>
              <w:t>62.135.251,97</w:t>
            </w:r>
          </w:p>
        </w:tc>
        <w:tc>
          <w:tcPr>
            <w:tcW w:w="3067" w:type="dxa"/>
            <w:tcBorders>
              <w:top w:val="single" w:sz="4" w:space="0" w:color="auto"/>
              <w:left w:val="single" w:sz="4" w:space="0" w:color="auto"/>
              <w:bottom w:val="single" w:sz="4" w:space="0" w:color="auto"/>
              <w:right w:val="single" w:sz="4" w:space="0" w:color="auto"/>
            </w:tcBorders>
            <w:shd w:val="clear" w:color="auto" w:fill="auto"/>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bCs/>
                <w:i/>
                <w:sz w:val="24"/>
                <w:szCs w:val="24"/>
                <w:highlight w:val="yellow"/>
                <w:lang w:eastAsia="ar-SA"/>
              </w:rPr>
            </w:pPr>
            <w:r w:rsidRPr="00860D69">
              <w:rPr>
                <w:rFonts w:ascii="Times New Roman" w:eastAsia="Times New Roman" w:hAnsi="Times New Roman" w:cs="Times New Roman"/>
                <w:i/>
                <w:sz w:val="24"/>
                <w:szCs w:val="24"/>
              </w:rPr>
              <w:t>73.940.949,84</w:t>
            </w:r>
          </w:p>
        </w:tc>
      </w:tr>
      <w:tr w:rsidR="00783D54" w:rsidRPr="00860D69" w:rsidTr="00837A0A">
        <w:tc>
          <w:tcPr>
            <w:tcW w:w="4106" w:type="dxa"/>
            <w:tcBorders>
              <w:top w:val="single" w:sz="4" w:space="0" w:color="auto"/>
              <w:left w:val="single" w:sz="4" w:space="0" w:color="auto"/>
              <w:bottom w:val="single" w:sz="4" w:space="0" w:color="auto"/>
              <w:right w:val="single" w:sz="4" w:space="0" w:color="auto"/>
            </w:tcBorders>
            <w:hideMark/>
          </w:tcPr>
          <w:p w:rsidR="00783D54" w:rsidRPr="00860D69" w:rsidRDefault="00783D54" w:rsidP="00837A0A">
            <w:pPr>
              <w:tabs>
                <w:tab w:val="right" w:pos="3544"/>
                <w:tab w:val="left" w:pos="3780"/>
              </w:tabs>
              <w:suppressAutoHyphens/>
              <w:spacing w:after="0" w:line="240" w:lineRule="auto"/>
              <w:ind w:firstLine="432"/>
              <w:jc w:val="right"/>
              <w:rPr>
                <w:rFonts w:ascii="Times New Roman" w:eastAsia="Times New Roman" w:hAnsi="Times New Roman" w:cs="Times New Roman"/>
                <w:b/>
                <w:sz w:val="24"/>
                <w:szCs w:val="24"/>
              </w:rPr>
            </w:pPr>
            <w:r w:rsidRPr="00860D69">
              <w:rPr>
                <w:rFonts w:ascii="Times New Roman" w:eastAsia="Times New Roman" w:hAnsi="Times New Roman" w:cs="Times New Roman"/>
                <w:b/>
                <w:sz w:val="24"/>
                <w:szCs w:val="24"/>
              </w:rPr>
              <w:t xml:space="preserve">Valoare finanțată prin Program </w:t>
            </w:r>
            <w:r w:rsidRPr="00860D69">
              <w:rPr>
                <w:rFonts w:ascii="Times New Roman" w:eastAsia="Times New Roman" w:hAnsi="Times New Roman" w:cs="Times New Roman"/>
                <w:i/>
                <w:sz w:val="24"/>
                <w:szCs w:val="24"/>
              </w:rPr>
              <w:t>(„</w:t>
            </w:r>
            <w:r w:rsidRPr="00860D69">
              <w:rPr>
                <w:rFonts w:ascii="Times New Roman" w:hAnsi="Times New Roman" w:cs="Times New Roman"/>
                <w:i/>
                <w:sz w:val="24"/>
                <w:szCs w:val="24"/>
              </w:rPr>
              <w:t>PROGRAMUL REGIONAL NORD-VEST 2021-2027</w:t>
            </w:r>
            <w:r w:rsidRPr="00860D69">
              <w:rPr>
                <w:rFonts w:ascii="Times New Roman" w:eastAsia="Times New Roman" w:hAnsi="Times New Roman" w:cs="Times New Roman"/>
                <w:i/>
                <w:sz w:val="24"/>
                <w:szCs w:val="24"/>
              </w:rPr>
              <w:t>”)</w:t>
            </w:r>
          </w:p>
        </w:tc>
        <w:tc>
          <w:tcPr>
            <w:tcW w:w="2835" w:type="dxa"/>
            <w:tcBorders>
              <w:top w:val="single" w:sz="8" w:space="0" w:color="3C3C3C"/>
              <w:left w:val="single" w:sz="4" w:space="0" w:color="000000"/>
              <w:bottom w:val="single" w:sz="4" w:space="0" w:color="000000"/>
              <w:right w:val="single" w:sz="4" w:space="0" w:color="000000"/>
            </w:tcBorders>
            <w:shd w:val="clear" w:color="auto" w:fill="auto"/>
            <w:vAlign w:val="center"/>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b/>
                <w:sz w:val="24"/>
                <w:szCs w:val="24"/>
                <w:lang w:eastAsia="ar-SA"/>
              </w:rPr>
            </w:pPr>
            <w:r w:rsidRPr="00860D69">
              <w:rPr>
                <w:rFonts w:ascii="Times New Roman" w:eastAsia="Times New Roman" w:hAnsi="Times New Roman" w:cs="Times New Roman"/>
                <w:b/>
                <w:sz w:val="24"/>
                <w:szCs w:val="24"/>
              </w:rPr>
              <w:t xml:space="preserve">75.838.960,03  </w:t>
            </w:r>
          </w:p>
        </w:tc>
        <w:tc>
          <w:tcPr>
            <w:tcW w:w="3067" w:type="dxa"/>
            <w:tcBorders>
              <w:top w:val="single" w:sz="8" w:space="0" w:color="3C3C3C"/>
              <w:left w:val="nil"/>
              <w:bottom w:val="single" w:sz="4" w:space="0" w:color="000000"/>
              <w:right w:val="single" w:sz="8" w:space="0" w:color="auto"/>
            </w:tcBorders>
            <w:shd w:val="clear" w:color="auto" w:fill="auto"/>
            <w:vAlign w:val="center"/>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b/>
                <w:sz w:val="24"/>
                <w:szCs w:val="24"/>
                <w:lang w:eastAsia="ar-SA"/>
              </w:rPr>
            </w:pPr>
            <w:r w:rsidRPr="00860D69">
              <w:rPr>
                <w:rFonts w:ascii="Times New Roman" w:eastAsia="Times New Roman" w:hAnsi="Times New Roman" w:cs="Times New Roman"/>
                <w:b/>
                <w:bCs/>
                <w:sz w:val="24"/>
                <w:szCs w:val="24"/>
                <w:lang w:eastAsia="ar-SA"/>
              </w:rPr>
              <w:t>90.106.614,72</w:t>
            </w:r>
          </w:p>
        </w:tc>
      </w:tr>
      <w:tr w:rsidR="00783D54" w:rsidRPr="00860D69" w:rsidTr="00837A0A">
        <w:trPr>
          <w:trHeight w:val="439"/>
        </w:trPr>
        <w:tc>
          <w:tcPr>
            <w:tcW w:w="4106" w:type="dxa"/>
            <w:tcBorders>
              <w:top w:val="single" w:sz="4" w:space="0" w:color="auto"/>
              <w:left w:val="single" w:sz="4" w:space="0" w:color="auto"/>
              <w:bottom w:val="single" w:sz="4" w:space="0" w:color="auto"/>
              <w:right w:val="single" w:sz="4" w:space="0" w:color="auto"/>
            </w:tcBorders>
          </w:tcPr>
          <w:p w:rsidR="00783D54" w:rsidRPr="00860D69" w:rsidRDefault="00783D54" w:rsidP="00837A0A">
            <w:pPr>
              <w:tabs>
                <w:tab w:val="right" w:pos="3544"/>
                <w:tab w:val="left" w:pos="3780"/>
              </w:tabs>
              <w:suppressAutoHyphens/>
              <w:spacing w:after="0" w:line="240" w:lineRule="auto"/>
              <w:ind w:firstLine="432"/>
              <w:jc w:val="center"/>
              <w:rPr>
                <w:rFonts w:ascii="Times New Roman" w:eastAsia="Times New Roman" w:hAnsi="Times New Roman" w:cs="Times New Roman"/>
                <w:b/>
                <w:sz w:val="24"/>
                <w:szCs w:val="24"/>
              </w:rPr>
            </w:pPr>
            <w:r w:rsidRPr="00860D69">
              <w:rPr>
                <w:rFonts w:ascii="Times New Roman" w:eastAsia="Times New Roman" w:hAnsi="Times New Roman" w:cs="Times New Roman"/>
                <w:sz w:val="24"/>
                <w:szCs w:val="24"/>
              </w:rPr>
              <w:t>din care C + M</w:t>
            </w:r>
          </w:p>
        </w:tc>
        <w:tc>
          <w:tcPr>
            <w:tcW w:w="2835" w:type="dxa"/>
            <w:tcBorders>
              <w:top w:val="single" w:sz="8" w:space="0" w:color="3C3C3C"/>
              <w:left w:val="single" w:sz="4" w:space="0" w:color="000000"/>
              <w:bottom w:val="single" w:sz="4" w:space="0" w:color="000000"/>
              <w:right w:val="single" w:sz="4" w:space="0" w:color="000000"/>
            </w:tcBorders>
            <w:shd w:val="clear" w:color="auto" w:fill="auto"/>
            <w:vAlign w:val="center"/>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i/>
                <w:sz w:val="24"/>
                <w:szCs w:val="24"/>
                <w:highlight w:val="white"/>
              </w:rPr>
            </w:pPr>
            <w:r w:rsidRPr="00860D69">
              <w:rPr>
                <w:rFonts w:ascii="Times New Roman" w:eastAsia="Times New Roman" w:hAnsi="Times New Roman" w:cs="Times New Roman"/>
                <w:i/>
                <w:sz w:val="24"/>
                <w:szCs w:val="24"/>
                <w:highlight w:val="white"/>
              </w:rPr>
              <w:t>61.278.159.67</w:t>
            </w:r>
          </w:p>
        </w:tc>
        <w:tc>
          <w:tcPr>
            <w:tcW w:w="3067" w:type="dxa"/>
            <w:tcBorders>
              <w:top w:val="single" w:sz="8" w:space="0" w:color="3C3C3C"/>
              <w:left w:val="nil"/>
              <w:bottom w:val="single" w:sz="4" w:space="0" w:color="000000"/>
              <w:right w:val="single" w:sz="8" w:space="0" w:color="auto"/>
            </w:tcBorders>
            <w:shd w:val="clear" w:color="auto" w:fill="auto"/>
            <w:vAlign w:val="center"/>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bCs/>
                <w:i/>
                <w:sz w:val="24"/>
                <w:szCs w:val="24"/>
                <w:lang w:eastAsia="ar-SA"/>
              </w:rPr>
            </w:pPr>
            <w:r w:rsidRPr="00860D69">
              <w:rPr>
                <w:rFonts w:ascii="Times New Roman" w:eastAsia="Times New Roman" w:hAnsi="Times New Roman" w:cs="Times New Roman"/>
                <w:bCs/>
                <w:i/>
                <w:sz w:val="24"/>
                <w:szCs w:val="24"/>
                <w:lang w:eastAsia="ar-SA"/>
              </w:rPr>
              <w:t>72.921.010,02</w:t>
            </w:r>
          </w:p>
        </w:tc>
      </w:tr>
      <w:tr w:rsidR="00783D54" w:rsidRPr="00860D69" w:rsidTr="00837A0A">
        <w:trPr>
          <w:trHeight w:val="701"/>
        </w:trPr>
        <w:tc>
          <w:tcPr>
            <w:tcW w:w="4106" w:type="dxa"/>
            <w:tcBorders>
              <w:top w:val="single" w:sz="4" w:space="0" w:color="auto"/>
              <w:left w:val="single" w:sz="4" w:space="0" w:color="auto"/>
              <w:bottom w:val="single" w:sz="4" w:space="0" w:color="auto"/>
              <w:right w:val="single" w:sz="4" w:space="0" w:color="auto"/>
            </w:tcBorders>
            <w:hideMark/>
          </w:tcPr>
          <w:p w:rsidR="00783D54" w:rsidRPr="00860D69" w:rsidRDefault="00783D54" w:rsidP="00837A0A">
            <w:pPr>
              <w:tabs>
                <w:tab w:val="left" w:pos="0"/>
              </w:tabs>
              <w:suppressAutoHyphens/>
              <w:spacing w:after="0" w:line="240" w:lineRule="auto"/>
              <w:ind w:firstLine="432"/>
              <w:jc w:val="both"/>
              <w:rPr>
                <w:rFonts w:ascii="Times New Roman" w:eastAsia="Times New Roman" w:hAnsi="Times New Roman" w:cs="Times New Roman"/>
                <w:b/>
                <w:sz w:val="24"/>
                <w:szCs w:val="24"/>
              </w:rPr>
            </w:pPr>
            <w:r w:rsidRPr="00860D69">
              <w:rPr>
                <w:rFonts w:ascii="Times New Roman" w:eastAsia="Times New Roman" w:hAnsi="Times New Roman" w:cs="Times New Roman"/>
                <w:b/>
                <w:sz w:val="24"/>
                <w:szCs w:val="24"/>
              </w:rPr>
              <w:t xml:space="preserve">Valoare finanțată prin U.A.T. Municipiul Marghita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b/>
                <w:sz w:val="24"/>
                <w:szCs w:val="24"/>
                <w:lang w:eastAsia="ar-SA"/>
              </w:rPr>
            </w:pPr>
            <w:r w:rsidRPr="00860D69">
              <w:rPr>
                <w:rFonts w:ascii="Times New Roman" w:eastAsia="Times New Roman" w:hAnsi="Times New Roman" w:cs="Times New Roman"/>
                <w:b/>
                <w:sz w:val="24"/>
                <w:szCs w:val="24"/>
                <w:lang w:eastAsia="ar-SA"/>
              </w:rPr>
              <w:t>972.092, 30</w:t>
            </w:r>
          </w:p>
        </w:tc>
        <w:tc>
          <w:tcPr>
            <w:tcW w:w="3067" w:type="dxa"/>
            <w:tcBorders>
              <w:top w:val="single" w:sz="4" w:space="0" w:color="auto"/>
              <w:left w:val="single" w:sz="4" w:space="0" w:color="auto"/>
              <w:bottom w:val="single" w:sz="4" w:space="0" w:color="auto"/>
              <w:right w:val="single" w:sz="4" w:space="0" w:color="auto"/>
            </w:tcBorders>
            <w:shd w:val="clear" w:color="auto" w:fill="auto"/>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b/>
                <w:sz w:val="24"/>
                <w:szCs w:val="24"/>
                <w:lang w:eastAsia="ar-SA"/>
              </w:rPr>
            </w:pPr>
            <w:r w:rsidRPr="00860D69">
              <w:rPr>
                <w:rFonts w:ascii="Times New Roman" w:eastAsia="Times New Roman" w:hAnsi="Times New Roman" w:cs="Times New Roman"/>
                <w:b/>
                <w:sz w:val="24"/>
                <w:szCs w:val="24"/>
                <w:lang w:eastAsia="ar-SA"/>
              </w:rPr>
              <w:t>1.156.789,84</w:t>
            </w:r>
          </w:p>
        </w:tc>
      </w:tr>
      <w:tr w:rsidR="00783D54" w:rsidRPr="00860D69" w:rsidTr="00837A0A">
        <w:trPr>
          <w:trHeight w:val="596"/>
        </w:trPr>
        <w:tc>
          <w:tcPr>
            <w:tcW w:w="4106" w:type="dxa"/>
            <w:tcBorders>
              <w:top w:val="single" w:sz="4" w:space="0" w:color="auto"/>
              <w:left w:val="single" w:sz="4" w:space="0" w:color="auto"/>
              <w:bottom w:val="single" w:sz="4" w:space="0" w:color="auto"/>
              <w:right w:val="single" w:sz="4" w:space="0" w:color="auto"/>
            </w:tcBorders>
            <w:hideMark/>
          </w:tcPr>
          <w:p w:rsidR="00783D54" w:rsidRPr="00860D69" w:rsidRDefault="00783D54" w:rsidP="00837A0A">
            <w:pPr>
              <w:tabs>
                <w:tab w:val="right" w:pos="3544"/>
                <w:tab w:val="left" w:pos="3780"/>
              </w:tabs>
              <w:suppressAutoHyphens/>
              <w:spacing w:after="0" w:line="240" w:lineRule="auto"/>
              <w:ind w:firstLine="432"/>
              <w:rPr>
                <w:rFonts w:ascii="Times New Roman" w:eastAsia="Times New Roman" w:hAnsi="Times New Roman" w:cs="Times New Roman"/>
                <w:i/>
                <w:sz w:val="24"/>
                <w:szCs w:val="24"/>
                <w:u w:val="single"/>
              </w:rPr>
            </w:pPr>
            <w:r w:rsidRPr="00860D69">
              <w:rPr>
                <w:rFonts w:ascii="Times New Roman" w:eastAsia="Times New Roman" w:hAnsi="Times New Roman" w:cs="Times New Roman"/>
                <w:sz w:val="24"/>
                <w:szCs w:val="24"/>
              </w:rPr>
              <w:t xml:space="preserve">                din care C + M</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i/>
                <w:sz w:val="24"/>
                <w:szCs w:val="24"/>
                <w:lang w:eastAsia="ar-SA"/>
              </w:rPr>
            </w:pPr>
            <w:r w:rsidRPr="00860D69">
              <w:rPr>
                <w:rFonts w:ascii="Times New Roman" w:eastAsia="Times New Roman" w:hAnsi="Times New Roman" w:cs="Times New Roman"/>
                <w:i/>
                <w:sz w:val="24"/>
                <w:szCs w:val="24"/>
                <w:lang w:eastAsia="ar-SA"/>
              </w:rPr>
              <w:t>857.092,30</w:t>
            </w:r>
          </w:p>
        </w:tc>
        <w:tc>
          <w:tcPr>
            <w:tcW w:w="3067" w:type="dxa"/>
            <w:tcBorders>
              <w:top w:val="single" w:sz="4" w:space="0" w:color="auto"/>
              <w:left w:val="single" w:sz="4" w:space="0" w:color="auto"/>
              <w:bottom w:val="single" w:sz="4" w:space="0" w:color="auto"/>
              <w:right w:val="single" w:sz="4" w:space="0" w:color="auto"/>
            </w:tcBorders>
            <w:shd w:val="clear" w:color="auto" w:fill="auto"/>
          </w:tcPr>
          <w:p w:rsidR="00783D54" w:rsidRPr="00860D69" w:rsidRDefault="00783D54" w:rsidP="00837A0A">
            <w:pPr>
              <w:suppressAutoHyphens/>
              <w:spacing w:after="0" w:line="240" w:lineRule="auto"/>
              <w:ind w:firstLine="432"/>
              <w:jc w:val="center"/>
              <w:rPr>
                <w:rFonts w:ascii="Times New Roman" w:eastAsia="Times New Roman" w:hAnsi="Times New Roman" w:cs="Times New Roman"/>
                <w:i/>
                <w:sz w:val="24"/>
                <w:szCs w:val="24"/>
                <w:lang w:eastAsia="ar-SA"/>
              </w:rPr>
            </w:pPr>
            <w:r w:rsidRPr="00860D69">
              <w:rPr>
                <w:rFonts w:ascii="Times New Roman" w:eastAsia="Times New Roman" w:hAnsi="Times New Roman" w:cs="Times New Roman"/>
                <w:i/>
                <w:sz w:val="24"/>
                <w:szCs w:val="24"/>
                <w:lang w:eastAsia="ar-SA"/>
              </w:rPr>
              <w:t>1.019.939,85</w:t>
            </w:r>
          </w:p>
        </w:tc>
      </w:tr>
    </w:tbl>
    <w:p w:rsidR="00783D54" w:rsidRPr="00860D69" w:rsidRDefault="00783D54" w:rsidP="00783D54">
      <w:pPr>
        <w:spacing w:after="0" w:line="240" w:lineRule="auto"/>
        <w:rPr>
          <w:rFonts w:ascii="Times New Roman" w:eastAsia="Times New Roman" w:hAnsi="Times New Roman" w:cs="Times New Roman"/>
          <w:b/>
          <w:bCs/>
          <w:color w:val="FF0000"/>
          <w:sz w:val="24"/>
          <w:szCs w:val="24"/>
        </w:rPr>
      </w:pPr>
    </w:p>
    <w:p w:rsidR="00000000" w:rsidRDefault="00783D54"/>
    <w:p w:rsidR="00783D54" w:rsidRDefault="00783D54" w:rsidP="00783D54">
      <w:pPr>
        <w:spacing w:after="0" w:line="240" w:lineRule="auto"/>
      </w:pPr>
    </w:p>
    <w:p w:rsidR="00783D54" w:rsidRPr="00783D54" w:rsidRDefault="00783D54" w:rsidP="00783D54">
      <w:pPr>
        <w:spacing w:after="0" w:line="240" w:lineRule="auto"/>
        <w:ind w:left="3540" w:hanging="3540"/>
        <w:rPr>
          <w:rFonts w:ascii="Times New Roman" w:hAnsi="Times New Roman" w:cs="Times New Roman"/>
          <w:b/>
          <w:sz w:val="24"/>
          <w:szCs w:val="24"/>
        </w:rPr>
      </w:pPr>
      <w:r w:rsidRPr="00783D54">
        <w:rPr>
          <w:rFonts w:ascii="Times New Roman" w:hAnsi="Times New Roman" w:cs="Times New Roman"/>
          <w:b/>
          <w:sz w:val="24"/>
          <w:szCs w:val="24"/>
        </w:rPr>
        <w:t xml:space="preserve">Președinte de ședință </w:t>
      </w:r>
      <w:r w:rsidRPr="00783D54">
        <w:rPr>
          <w:rFonts w:ascii="Times New Roman" w:hAnsi="Times New Roman" w:cs="Times New Roman"/>
          <w:b/>
          <w:sz w:val="24"/>
          <w:szCs w:val="24"/>
        </w:rPr>
        <w:tab/>
      </w:r>
      <w:r w:rsidRPr="00783D54">
        <w:rPr>
          <w:rFonts w:ascii="Times New Roman" w:hAnsi="Times New Roman" w:cs="Times New Roman"/>
          <w:b/>
          <w:sz w:val="24"/>
          <w:szCs w:val="24"/>
        </w:rPr>
        <w:tab/>
      </w:r>
      <w:r w:rsidRPr="00783D54">
        <w:rPr>
          <w:rFonts w:ascii="Times New Roman" w:hAnsi="Times New Roman" w:cs="Times New Roman"/>
          <w:b/>
          <w:sz w:val="24"/>
          <w:szCs w:val="24"/>
        </w:rPr>
        <w:tab/>
        <w:t xml:space="preserve">Contrasemnează pentru legalitate </w:t>
      </w:r>
    </w:p>
    <w:p w:rsidR="00783D54" w:rsidRPr="00783D54" w:rsidRDefault="00783D54" w:rsidP="00783D54">
      <w:pPr>
        <w:spacing w:after="0" w:line="240" w:lineRule="auto"/>
        <w:rPr>
          <w:rFonts w:ascii="Times New Roman" w:hAnsi="Times New Roman" w:cs="Times New Roman"/>
          <w:b/>
          <w:sz w:val="24"/>
          <w:szCs w:val="24"/>
        </w:rPr>
      </w:pPr>
      <w:r w:rsidRPr="00783D54">
        <w:rPr>
          <w:rFonts w:ascii="Times New Roman" w:hAnsi="Times New Roman" w:cs="Times New Roman"/>
          <w:b/>
          <w:sz w:val="24"/>
          <w:szCs w:val="24"/>
        </w:rPr>
        <w:t xml:space="preserve">Claudiu-Ioan CIARNĂU                                        </w:t>
      </w:r>
      <w:r>
        <w:rPr>
          <w:rFonts w:ascii="Times New Roman" w:hAnsi="Times New Roman" w:cs="Times New Roman"/>
          <w:b/>
          <w:sz w:val="24"/>
          <w:szCs w:val="24"/>
        </w:rPr>
        <w:t xml:space="preserve">        </w:t>
      </w:r>
      <w:r w:rsidRPr="00783D54">
        <w:rPr>
          <w:rFonts w:ascii="Times New Roman" w:hAnsi="Times New Roman" w:cs="Times New Roman"/>
          <w:b/>
          <w:sz w:val="24"/>
          <w:szCs w:val="24"/>
        </w:rPr>
        <w:t xml:space="preserve">Secretar general </w:t>
      </w:r>
    </w:p>
    <w:p w:rsidR="00783D54" w:rsidRPr="00783D54" w:rsidRDefault="00783D54" w:rsidP="00783D54">
      <w:pPr>
        <w:spacing w:after="0" w:line="240" w:lineRule="auto"/>
        <w:rPr>
          <w:rFonts w:ascii="Times New Roman" w:hAnsi="Times New Roman" w:cs="Times New Roman"/>
          <w:b/>
          <w:sz w:val="24"/>
          <w:szCs w:val="24"/>
        </w:rPr>
      </w:pPr>
      <w:r w:rsidRPr="00783D54">
        <w:rPr>
          <w:rFonts w:ascii="Times New Roman" w:hAnsi="Times New Roman" w:cs="Times New Roman"/>
          <w:b/>
          <w:sz w:val="24"/>
          <w:szCs w:val="24"/>
        </w:rPr>
        <w:tab/>
      </w:r>
      <w:r w:rsidRPr="00783D54">
        <w:rPr>
          <w:rFonts w:ascii="Times New Roman" w:hAnsi="Times New Roman" w:cs="Times New Roman"/>
          <w:b/>
          <w:sz w:val="24"/>
          <w:szCs w:val="24"/>
        </w:rPr>
        <w:tab/>
      </w:r>
      <w:r w:rsidRPr="00783D54">
        <w:rPr>
          <w:rFonts w:ascii="Times New Roman" w:hAnsi="Times New Roman" w:cs="Times New Roman"/>
          <w:b/>
          <w:sz w:val="24"/>
          <w:szCs w:val="24"/>
        </w:rPr>
        <w:tab/>
      </w:r>
      <w:r w:rsidRPr="00783D54">
        <w:rPr>
          <w:rFonts w:ascii="Times New Roman" w:hAnsi="Times New Roman" w:cs="Times New Roman"/>
          <w:b/>
          <w:sz w:val="24"/>
          <w:szCs w:val="24"/>
        </w:rPr>
        <w:tab/>
      </w:r>
      <w:r w:rsidRPr="00783D54">
        <w:rPr>
          <w:rFonts w:ascii="Times New Roman" w:hAnsi="Times New Roman" w:cs="Times New Roman"/>
          <w:b/>
          <w:sz w:val="24"/>
          <w:szCs w:val="24"/>
        </w:rPr>
        <w:tab/>
      </w:r>
      <w:r w:rsidRPr="00783D54">
        <w:rPr>
          <w:rFonts w:ascii="Times New Roman" w:hAnsi="Times New Roman" w:cs="Times New Roman"/>
          <w:b/>
          <w:sz w:val="24"/>
          <w:szCs w:val="24"/>
        </w:rPr>
        <w:tab/>
      </w:r>
      <w:r w:rsidRPr="00783D54">
        <w:rPr>
          <w:rFonts w:ascii="Times New Roman" w:hAnsi="Times New Roman" w:cs="Times New Roman"/>
          <w:b/>
          <w:sz w:val="24"/>
          <w:szCs w:val="24"/>
        </w:rPr>
        <w:tab/>
        <w:t xml:space="preserve">Jr Cornelia DEMETER </w:t>
      </w:r>
    </w:p>
    <w:sectPr w:rsidR="00783D54" w:rsidRPr="00783D54">
      <w:pgSz w:w="11906" w:h="16838"/>
      <w:pgMar w:top="1134" w:right="1106" w:bottom="1134"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F8AA1"/>
    <w:multiLevelType w:val="hybridMultilevel"/>
    <w:tmpl w:val="BDC323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83D54"/>
    <w:rsid w:val="00783D5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6006</Characters>
  <Application>Microsoft Office Word</Application>
  <DocSecurity>0</DocSecurity>
  <Lines>50</Lines>
  <Paragraphs>14</Paragraphs>
  <ScaleCrop>false</ScaleCrop>
  <Company/>
  <LinksUpToDate>false</LinksUpToDate>
  <CharactersWithSpaces>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2023-08-10T07:02:00Z</dcterms:created>
  <dcterms:modified xsi:type="dcterms:W3CDTF">2023-08-10T07:04:00Z</dcterms:modified>
</cp:coreProperties>
</file>