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44" w:type="dxa"/>
        <w:tblLook w:val="04A0" w:firstRow="1" w:lastRow="0" w:firstColumn="1" w:lastColumn="0" w:noHBand="0" w:noVBand="1"/>
      </w:tblPr>
      <w:tblGrid>
        <w:gridCol w:w="2234"/>
        <w:gridCol w:w="6381"/>
        <w:gridCol w:w="2220"/>
      </w:tblGrid>
      <w:tr w:rsidR="0056661B" w:rsidRPr="0056661B" w14:paraId="7A293AF0" w14:textId="77777777" w:rsidTr="001B6A86">
        <w:trPr>
          <w:trHeight w:val="1388"/>
        </w:trPr>
        <w:tc>
          <w:tcPr>
            <w:tcW w:w="2234" w:type="dxa"/>
          </w:tcPr>
          <w:p w14:paraId="5F6D3593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ro-RO" w:eastAsia="ro-RO"/>
              </w:rPr>
            </w:pPr>
            <w:bookmarkStart w:id="0" w:name="_Hlk72156462"/>
            <w:r w:rsidRPr="0056661B">
              <w:rPr>
                <w:rFonts w:eastAsiaTheme="minorEastAsia"/>
                <w:noProof/>
                <w:lang w:val="ro-RO" w:eastAsia="ro-RO"/>
              </w:rPr>
              <w:drawing>
                <wp:inline distT="0" distB="0" distL="0" distR="0" wp14:anchorId="4B45130B" wp14:editId="33F870E0">
                  <wp:extent cx="523875" cy="704850"/>
                  <wp:effectExtent l="19050" t="0" r="9525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82950" b="3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1" w:type="dxa"/>
          </w:tcPr>
          <w:p w14:paraId="7BAD36EB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</w:pPr>
            <w:r w:rsidRPr="0056661B"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  <w:t>ROMÂNIA</w:t>
            </w:r>
          </w:p>
          <w:p w14:paraId="3F20D280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</w:pPr>
            <w:r w:rsidRPr="0056661B">
              <w:rPr>
                <w:rFonts w:ascii="Courier New" w:eastAsiaTheme="minorEastAsia" w:hAnsi="Courier New" w:cs="Courier New"/>
                <w:sz w:val="28"/>
                <w:szCs w:val="28"/>
                <w:lang w:val="ro-RO" w:eastAsia="ro-RO"/>
              </w:rPr>
              <w:t>JUDEȚUL CONSTANȚA</w:t>
            </w:r>
          </w:p>
          <w:p w14:paraId="42AFE64B" w14:textId="77777777" w:rsid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ourier New" w:eastAsiaTheme="minorEastAsia" w:hAnsi="Courier New" w:cs="Courier New"/>
                <w:b/>
                <w:sz w:val="28"/>
                <w:szCs w:val="28"/>
                <w:lang w:val="ro-RO" w:eastAsia="ro-RO"/>
              </w:rPr>
            </w:pPr>
            <w:r w:rsidRPr="0056661B">
              <w:rPr>
                <w:rFonts w:ascii="Courier New" w:eastAsiaTheme="minorEastAsia" w:hAnsi="Courier New" w:cs="Courier New"/>
                <w:b/>
                <w:sz w:val="28"/>
                <w:szCs w:val="28"/>
                <w:lang w:val="ro-RO" w:eastAsia="ro-RO"/>
              </w:rPr>
              <w:t>CONSILIUL LOCAL AL COMUNEI TÂRGUȘOR</w:t>
            </w:r>
          </w:p>
          <w:p w14:paraId="71229772" w14:textId="77777777" w:rsidR="00370DC1" w:rsidRPr="00370DC1" w:rsidRDefault="00370DC1" w:rsidP="00370DC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ro-RO"/>
              </w:rPr>
            </w:pPr>
            <w:r w:rsidRPr="00370DC1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 xml:space="preserve">Compartimentul Buget, Finanțe, Contabilitate, </w:t>
            </w:r>
          </w:p>
          <w:p w14:paraId="69385F86" w14:textId="5718E633" w:rsidR="00370DC1" w:rsidRPr="0056661B" w:rsidRDefault="00370DC1" w:rsidP="00370DC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b/>
                <w:sz w:val="28"/>
                <w:szCs w:val="28"/>
                <w:lang w:val="ro-RO" w:eastAsia="ro-RO"/>
              </w:rPr>
            </w:pPr>
            <w:r w:rsidRPr="00370DC1">
              <w:rPr>
                <w:rFonts w:ascii="Calibri" w:eastAsia="Calibri" w:hAnsi="Calibri" w:cs="Times New Roman"/>
                <w:sz w:val="24"/>
                <w:szCs w:val="24"/>
                <w:lang w:val="ro-RO"/>
              </w:rPr>
              <w:t>Salarizare, Resurse Umane, Impozite și Taxe</w:t>
            </w:r>
          </w:p>
        </w:tc>
        <w:tc>
          <w:tcPr>
            <w:tcW w:w="2220" w:type="dxa"/>
          </w:tcPr>
          <w:p w14:paraId="32B58E84" w14:textId="77777777" w:rsidR="0056661B" w:rsidRPr="0056661B" w:rsidRDefault="0056661B" w:rsidP="0056661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val="ro-RO" w:eastAsia="ro-RO"/>
              </w:rPr>
            </w:pPr>
            <w:r w:rsidRPr="0056661B">
              <w:rPr>
                <w:rFonts w:eastAsiaTheme="minorEastAsia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5D0F2015" wp14:editId="284EB63F">
                  <wp:extent cx="533400" cy="704850"/>
                  <wp:effectExtent l="19050" t="0" r="0" b="0"/>
                  <wp:docPr id="3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C6F2FD" w14:textId="3BBFDE3B" w:rsidR="0056661B" w:rsidRPr="0056661B" w:rsidRDefault="0056661B" w:rsidP="005666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</w:pPr>
      <w:r w:rsidRPr="0056661B"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  <w:t>____________________________________________________________</w:t>
      </w:r>
    </w:p>
    <w:p w14:paraId="5D6499AB" w14:textId="77777777" w:rsidR="0056661B" w:rsidRPr="0056661B" w:rsidRDefault="0056661B" w:rsidP="0056661B">
      <w:pPr>
        <w:tabs>
          <w:tab w:val="left" w:pos="6972"/>
        </w:tabs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4"/>
          <w:lang w:val="ro-RO" w:eastAsia="ar-SA"/>
        </w:rPr>
      </w:pPr>
    </w:p>
    <w:p w14:paraId="77681314" w14:textId="2A52B31B" w:rsidR="0056661B" w:rsidRPr="0056661B" w:rsidRDefault="0056661B" w:rsidP="0056661B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</w:pP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Nr.</w:t>
      </w:r>
      <w:r w:rsidR="00082EBF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</w:t>
      </w:r>
      <w:r w:rsidR="00195D00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3888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/ </w:t>
      </w:r>
      <w:r w:rsidR="002F5484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1</w:t>
      </w:r>
      <w:r w:rsidR="00195D00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2</w:t>
      </w:r>
      <w:r w:rsidR="00EB6B13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</w:t>
      </w:r>
      <w:r w:rsidR="00195D00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octombrie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202</w:t>
      </w:r>
      <w:r w:rsidR="00EB6B13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>3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</w:t>
      </w:r>
    </w:p>
    <w:p w14:paraId="6EB0DDEC" w14:textId="77777777" w:rsidR="0056661B" w:rsidRPr="0056661B" w:rsidRDefault="0056661B" w:rsidP="0056661B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</w:pPr>
    </w:p>
    <w:p w14:paraId="6033A623" w14:textId="1DDD4655" w:rsidR="002F5484" w:rsidRPr="0056661B" w:rsidRDefault="0056661B" w:rsidP="002F54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US" w:eastAsia="ar-SA"/>
        </w:rPr>
      </w:pP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US" w:eastAsia="ar-SA"/>
        </w:rPr>
        <w:t xml:space="preserve">R A P O R T </w:t>
      </w:r>
    </w:p>
    <w:bookmarkEnd w:id="0"/>
    <w:p w14:paraId="090FD182" w14:textId="32F40A9B" w:rsidR="0056661B" w:rsidRPr="0056661B" w:rsidRDefault="0056661B" w:rsidP="0056661B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la proiectul de hotărâre  privind aprobarea bugetului de venituri </w:t>
      </w:r>
      <w:r w:rsidR="008860C5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ș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i</w:t>
      </w:r>
    </w:p>
    <w:p w14:paraId="7DB1B261" w14:textId="77777777" w:rsidR="003C2E3F" w:rsidRDefault="0056661B" w:rsidP="003C2E3F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cheltuieli</w:t>
      </w:r>
      <w:r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rectificat</w:t>
      </w:r>
      <w:r w:rsidR="003C2E3F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,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a</w:t>
      </w:r>
      <w:r w:rsidR="007D2BC9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l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Consiliului  Local al comunei Târgușor,</w:t>
      </w:r>
    </w:p>
    <w:p w14:paraId="746D90B1" w14:textId="7AF40005" w:rsidR="0056661B" w:rsidRDefault="000025AA" w:rsidP="003C2E3F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</w:t>
      </w:r>
      <w:r w:rsidR="0056661B"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jude</w:t>
      </w:r>
      <w:r w:rsidR="008860C5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ț</w:t>
      </w:r>
      <w:r w:rsidR="0056661B"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ul Constanța, pe anul 202</w:t>
      </w:r>
      <w:r w:rsidR="00EB6B1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3</w:t>
      </w:r>
    </w:p>
    <w:p w14:paraId="7F61DF35" w14:textId="77777777" w:rsidR="002F5484" w:rsidRPr="0056661B" w:rsidRDefault="002F5484" w:rsidP="000025AA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</w:p>
    <w:p w14:paraId="2A54CE56" w14:textId="77777777" w:rsidR="0056661B" w:rsidRPr="0056661B" w:rsidRDefault="0056661B" w:rsidP="0056661B">
      <w:pPr>
        <w:suppressAutoHyphens/>
        <w:spacing w:after="0" w:line="240" w:lineRule="auto"/>
        <w:ind w:right="-153"/>
        <w:jc w:val="center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</w:p>
    <w:p w14:paraId="127C92C9" w14:textId="65B263DA" w:rsidR="0056661B" w:rsidRPr="0056661B" w:rsidRDefault="0056661B" w:rsidP="007749EC">
      <w:pPr>
        <w:keepNext/>
        <w:suppressAutoHyphens/>
        <w:spacing w:after="0" w:line="240" w:lineRule="auto"/>
        <w:ind w:left="-567" w:right="-567" w:firstLine="720"/>
        <w:outlineLvl w:val="2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Analizând Referatul de Aprobare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 Proiectul de Hotărâre 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privind aprobarea bugetului de venituri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cheltuieli</w:t>
      </w:r>
      <w:r w:rsidR="006E5DF0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rectificat</w:t>
      </w:r>
      <w:r w:rsidR="003C2E3F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,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al Consiliului Local al comunei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Târguşor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,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judeţul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Constanţa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, pe anul 202</w:t>
      </w:r>
      <w:r w:rsidR="00EB6B1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3</w:t>
      </w:r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,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>iniţiat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 de doamna Mădălina NEGRU, primarul comunei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>Târguşor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>, consider ca legala si oportună adoptarea acestuia.</w:t>
      </w:r>
    </w:p>
    <w:p w14:paraId="2BC7BC3C" w14:textId="2410F07C" w:rsidR="00082EBF" w:rsidRDefault="0056661B" w:rsidP="00082EBF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 w:rsidRPr="0056661B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val="ro-RO" w:eastAsia="ar-SA"/>
        </w:rPr>
        <w:tab/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Consider ca legal acest proiect de hotărâre în conformitate cu prevederile</w:t>
      </w:r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art. 3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și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art. 4 din 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Legea nr. 500/ 2002 privind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finanţele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publice, cu modificările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completările ulterioare,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prevederile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art. 19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alin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. (1)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și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alin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. (2) din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Legea nr. 273/ 2006 privind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finanţele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publice locale, cu modificările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completările ulterioare,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prevederile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art. 3 </w:t>
      </w:r>
      <w:r w:rsidR="00EB6B13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– art. 7 </w:t>
      </w:r>
      <w:proofErr w:type="spellStart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și</w:t>
      </w:r>
      <w:proofErr w:type="spellEnd"/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art. </w:t>
      </w:r>
      <w:r w:rsidR="00EB6B13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11 – </w:t>
      </w:r>
      <w:proofErr w:type="gramStart"/>
      <w:r w:rsidR="00EB6B13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>art .</w:t>
      </w:r>
      <w:proofErr w:type="gramEnd"/>
      <w:r w:rsidR="00EB6B13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22</w:t>
      </w:r>
      <w:r w:rsidRPr="0056661B">
        <w:rPr>
          <w:rFonts w:ascii="Times New Roman" w:eastAsia="Times New Roman" w:hAnsi="Times New Roman" w:cs="Times New Roman"/>
          <w:b/>
          <w:kern w:val="1"/>
          <w:sz w:val="24"/>
          <w:szCs w:val="24"/>
          <w:lang w:val="en-US" w:eastAsia="ar-SA"/>
        </w:rPr>
        <w:t xml:space="preserve"> din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Legea bugetului de stat pe anul 202</w:t>
      </w:r>
      <w:r w:rsidR="00EB6B1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3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, nr.</w:t>
      </w:r>
      <w:r w:rsidR="001E1BB5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3</w:t>
      </w:r>
      <w:r w:rsidR="00EB6B1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68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/ 202</w:t>
      </w:r>
      <w:r w:rsidR="00EB6B1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2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prevederile art. 129 </w:t>
      </w:r>
      <w:r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alin. (1)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alin. (2)  lit. b)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alin. (4) lit. a), art. 139 alin. (1)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alin. (3) lit. a) coroborat cu art. 196 alin. (1) lit. a) din Ordonanței de Urgență a Guvernului nr. 57/ 2019 privind Codul Administrativ, cu modificările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completările ulterioare.</w:t>
      </w:r>
    </w:p>
    <w:p w14:paraId="77AF0B45" w14:textId="7CD6C204" w:rsidR="00A14B1E" w:rsidRDefault="00082EBF" w:rsidP="00A14B1E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</w:pPr>
      <w:r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ab/>
      </w:r>
      <w:r w:rsidR="0056661B"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Consider ca oportun acest proiect de hotărâre</w:t>
      </w:r>
      <w:r w:rsidR="00EB6B13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</w:t>
      </w:r>
      <w:r w:rsidR="00E9781A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având în vedere prevederile art. </w:t>
      </w:r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41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alin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. (1) din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Legea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nr. 273/ 2006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privind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finanțele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publice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locale, cu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modificările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și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completările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 </w:t>
      </w:r>
      <w:proofErr w:type="spellStart"/>
      <w:proofErr w:type="gramStart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ulterioare</w:t>
      </w:r>
      <w:proofErr w:type="spell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;</w:t>
      </w:r>
      <w:proofErr w:type="gramEnd"/>
      <w:r w:rsidR="00E9781A" w:rsidRPr="00E9781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 </w:t>
      </w:r>
    </w:p>
    <w:p w14:paraId="55056260" w14:textId="77777777" w:rsidR="002F5484" w:rsidRPr="00E9781A" w:rsidRDefault="002F5484" w:rsidP="00A14B1E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8ADF971" w14:textId="08B75AF3" w:rsidR="001E1BB5" w:rsidRDefault="001E1BB5" w:rsidP="00A14B1E">
      <w:p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Bugetul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r w:rsidR="00510132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local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venituri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cheltuieli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rectifică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urmează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>:</w:t>
      </w:r>
    </w:p>
    <w:p w14:paraId="49CF8682" w14:textId="77777777" w:rsidR="002F5484" w:rsidRDefault="002F5484" w:rsidP="00A14B1E">
      <w:p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</w:p>
    <w:p w14:paraId="6A622DA1" w14:textId="4531D272" w:rsidR="002F5484" w:rsidRPr="002F5484" w:rsidRDefault="002F5484" w:rsidP="002F5484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venituri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de  </w:t>
      </w:r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</w:t>
      </w:r>
      <w:r w:rsidR="0069050F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9</w:t>
      </w:r>
      <w:r w:rsidR="00195D00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4</w:t>
      </w:r>
      <w:r w:rsidR="0069050F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0</w:t>
      </w:r>
      <w:proofErr w:type="gramEnd"/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lei</w:t>
      </w:r>
      <w:r w:rsidRPr="002F5484">
        <w:rPr>
          <w:rStyle w:val="Robust"/>
          <w:rFonts w:ascii="Times New Roman" w:hAnsi="Times New Roman" w:cs="Times New Roman"/>
          <w:b w:val="0"/>
          <w:bCs w:val="0"/>
          <w:color w:val="484848"/>
          <w:sz w:val="24"/>
          <w:szCs w:val="24"/>
          <w:shd w:val="clear" w:color="auto" w:fill="FFFFFF"/>
        </w:rPr>
        <w:t>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 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venituri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 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contul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21.42.02.34 -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subvenții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acordarea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ajutorului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încălzirea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locuinței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suplimentului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energie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alocate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consumul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combustibili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solizi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/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sau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petrolieri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</w:p>
    <w:p w14:paraId="304906D8" w14:textId="221033AB" w:rsidR="00B05508" w:rsidRPr="002F5484" w:rsidRDefault="002F5484" w:rsidP="002F5484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venituri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2</w:t>
      </w:r>
      <w:r w:rsidR="00195D00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27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</w:t>
      </w:r>
      <w:r w:rsidR="00195D00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20</w:t>
      </w:r>
      <w:r w:rsidR="0069050F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lei,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 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venituri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  - </w:t>
      </w:r>
      <w:proofErr w:type="spellStart"/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contul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21.30.02.05.01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redevențe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miniere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</w:p>
    <w:p w14:paraId="0CD80A72" w14:textId="77777777" w:rsidR="002F5484" w:rsidRPr="002F5484" w:rsidRDefault="002F5484" w:rsidP="002F5484">
      <w:pPr>
        <w:pStyle w:val="Listparagraf"/>
        <w:tabs>
          <w:tab w:val="left" w:pos="0"/>
        </w:tabs>
        <w:suppressAutoHyphens/>
        <w:spacing w:after="0" w:line="240" w:lineRule="auto"/>
        <w:ind w:left="363"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</w:p>
    <w:p w14:paraId="754ADE4A" w14:textId="4A4E6C74" w:rsidR="00510132" w:rsidRDefault="00510132" w:rsidP="00510132">
      <w:pPr>
        <w:tabs>
          <w:tab w:val="left" w:pos="0"/>
        </w:tabs>
        <w:suppressAutoHyphens/>
        <w:spacing w:after="0" w:line="240" w:lineRule="auto"/>
        <w:ind w:left="3"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Bugetul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local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venituri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cheltuieli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echilibrează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partea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cheltuieli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urmează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</w:p>
    <w:p w14:paraId="428725FA" w14:textId="77777777" w:rsidR="002F5484" w:rsidRDefault="002F5484" w:rsidP="00510132">
      <w:pPr>
        <w:tabs>
          <w:tab w:val="left" w:pos="0"/>
        </w:tabs>
        <w:suppressAutoHyphens/>
        <w:spacing w:after="0" w:line="240" w:lineRule="auto"/>
        <w:ind w:left="3"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5D3A25B" w14:textId="6ABDE5DF" w:rsidR="002F5484" w:rsidRPr="0069050F" w:rsidRDefault="002F5484" w:rsidP="0069050F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</w:t>
      </w:r>
      <w:r w:rsidRPr="002F5484">
        <w:rPr>
          <w:rStyle w:val="Robust"/>
          <w:rFonts w:ascii="Times New Roman" w:hAnsi="Times New Roman" w:cs="Times New Roman"/>
          <w:b w:val="0"/>
          <w:bCs w:val="0"/>
          <w:color w:val="484848"/>
          <w:sz w:val="24"/>
          <w:szCs w:val="24"/>
          <w:shd w:val="clear" w:color="auto" w:fill="FFFFFF"/>
        </w:rPr>
        <w:t> </w:t>
      </w:r>
      <w:r w:rsidR="0069050F">
        <w:rPr>
          <w:rStyle w:val="Robust"/>
          <w:rFonts w:ascii="Times New Roman" w:hAnsi="Times New Roman" w:cs="Times New Roman"/>
          <w:b w:val="0"/>
          <w:bCs w:val="0"/>
          <w:color w:val="484848"/>
          <w:sz w:val="24"/>
          <w:szCs w:val="24"/>
          <w:shd w:val="clear" w:color="auto" w:fill="FFFFFF"/>
        </w:rPr>
        <w:t>1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</w:t>
      </w:r>
      <w:r w:rsidR="0069050F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9</w:t>
      </w:r>
      <w:r w:rsidR="00195D00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4</w:t>
      </w:r>
      <w:r w:rsidR="0069050F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 xml:space="preserve"> lei,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 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68.00 -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Asigurări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asistență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socială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57.02.01-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ajutor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social;</w:t>
      </w:r>
      <w:proofErr w:type="gramEnd"/>
    </w:p>
    <w:p w14:paraId="18F336CC" w14:textId="0865A97F" w:rsidR="002F5484" w:rsidRPr="0069050F" w:rsidRDefault="002F5484" w:rsidP="002F5484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="00227E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8</w:t>
      </w:r>
      <w:r w:rsidR="00F04129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</w:t>
      </w:r>
      <w:r w:rsidR="00F04129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2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00 lei</w:t>
      </w:r>
      <w:r w:rsidRPr="002F5484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51.02.01.03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Autoritati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executive 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I </w:t>
      </w:r>
      <w:proofErr w:type="spellStart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bookmarkStart w:id="1" w:name="_Hlk140581686"/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20.01.</w:t>
      </w:r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30</w:t>
      </w:r>
      <w:r w:rsidR="0069050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bookmarkStart w:id="2" w:name="_Hlk148619179"/>
      <w:proofErr w:type="spellStart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alte</w:t>
      </w:r>
      <w:proofErr w:type="spellEnd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întreținere</w:t>
      </w:r>
      <w:proofErr w:type="spellEnd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; </w:t>
      </w:r>
    </w:p>
    <w:bookmarkEnd w:id="1"/>
    <w:bookmarkEnd w:id="2"/>
    <w:p w14:paraId="578AB08A" w14:textId="5958019E" w:rsidR="002F5484" w:rsidRPr="00195D00" w:rsidRDefault="002F5484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7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61.02.03.04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Politie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locala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- 20.01.0</w:t>
      </w:r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proofErr w:type="spellStart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carburanți</w:t>
      </w:r>
      <w:proofErr w:type="spellEnd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195D00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lubrifianți</w:t>
      </w:r>
      <w:proofErr w:type="spellEnd"/>
      <w:r w:rsidR="00A13922"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; </w:t>
      </w:r>
    </w:p>
    <w:p w14:paraId="7C0E7296" w14:textId="56045159" w:rsidR="00195D00" w:rsidRPr="00195D00" w:rsidRDefault="00195D00" w:rsidP="00195D00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61.02.03.04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Politie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locala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- 20.01.0</w:t>
      </w:r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proofErr w:type="spellStart"/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piese</w:t>
      </w:r>
      <w:proofErr w:type="spellEnd"/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schimb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; </w:t>
      </w:r>
    </w:p>
    <w:p w14:paraId="0F846941" w14:textId="77777777" w:rsidR="00195D00" w:rsidRPr="00A13922" w:rsidRDefault="00195D00" w:rsidP="00431CC3">
      <w:pPr>
        <w:pStyle w:val="Listparagraf"/>
        <w:tabs>
          <w:tab w:val="left" w:pos="0"/>
        </w:tabs>
        <w:suppressAutoHyphens/>
        <w:spacing w:after="0" w:line="240" w:lineRule="auto"/>
        <w:ind w:left="363"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45A59F6" w14:textId="748616A9" w:rsidR="00A13922" w:rsidRPr="00A13922" w:rsidRDefault="00A13922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lastRenderedPageBreak/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65.02.0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4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.01 - </w:t>
      </w:r>
      <w:proofErr w:type="spell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Invatamant</w:t>
      </w:r>
      <w:proofErr w:type="spellEnd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secundar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inferior,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- 20.01.0</w:t>
      </w:r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proofErr w:type="spellStart"/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carburanți</w:t>
      </w:r>
      <w:proofErr w:type="spellEnd"/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lubrifianți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proofErr w:type="gramEnd"/>
    </w:p>
    <w:p w14:paraId="00E177D4" w14:textId="20F2C379" w:rsidR="00A13922" w:rsidRPr="00431CC3" w:rsidRDefault="00A13922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65.02.0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4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.01 - </w:t>
      </w:r>
      <w:proofErr w:type="spell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Invatamant</w:t>
      </w:r>
      <w:proofErr w:type="spellEnd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secundar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inferior,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</w:t>
      </w:r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.0</w:t>
      </w:r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proofErr w:type="spellStart"/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piese</w:t>
      </w:r>
      <w:proofErr w:type="spellEnd"/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proofErr w:type="gramStart"/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schimb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proofErr w:type="gramEnd"/>
    </w:p>
    <w:p w14:paraId="21720E1D" w14:textId="4048502A" w:rsidR="00431CC3" w:rsidRPr="00431CC3" w:rsidRDefault="00431CC3" w:rsidP="00431CC3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65.02.0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4</w:t>
      </w:r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.01 - </w:t>
      </w:r>
      <w:proofErr w:type="spellStart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Invatamant</w:t>
      </w:r>
      <w:proofErr w:type="spellEnd"/>
      <w:r w:rsidRP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secundar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inferior,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20.01.30 -</w:t>
      </w:r>
      <w:r w:rsidRP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alte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întreținere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</w:p>
    <w:p w14:paraId="64E976F1" w14:textId="4F296DA2" w:rsidR="002F5484" w:rsidRPr="00A13922" w:rsidRDefault="002F5484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 67.02.0</w:t>
      </w:r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.0</w:t>
      </w:r>
      <w:r w:rsidR="00431C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</w:t>
      </w:r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Sport</w:t>
      </w:r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- 20.01.0</w:t>
      </w:r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4</w:t>
      </w:r>
      <w:r w:rsidR="00A13922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proofErr w:type="spell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apă</w:t>
      </w:r>
      <w:proofErr w:type="spellEnd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canal </w:t>
      </w:r>
      <w:proofErr w:type="spell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salubritate</w:t>
      </w:r>
      <w:proofErr w:type="spellEnd"/>
      <w:r w:rsidR="00A13922"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; </w:t>
      </w:r>
    </w:p>
    <w:p w14:paraId="2B917FDE" w14:textId="1BEFB255" w:rsidR="00A13922" w:rsidRPr="00A80C1F" w:rsidRDefault="00A13922" w:rsidP="00A13922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68.02.05.02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– </w:t>
      </w:r>
      <w:proofErr w:type="spell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Asistență</w:t>
      </w:r>
      <w:proofErr w:type="spellEnd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social </w:t>
      </w:r>
      <w:proofErr w:type="spell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caz</w:t>
      </w:r>
      <w:proofErr w:type="spellEnd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invaliditate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X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– </w:t>
      </w:r>
      <w:proofErr w:type="spell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asistență</w:t>
      </w:r>
      <w:proofErr w:type="spellEnd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socială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57.02.01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</w:t>
      </w:r>
      <w:proofErr w:type="spell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ajutoare</w:t>
      </w:r>
      <w:proofErr w:type="spellEnd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sociale</w:t>
      </w:r>
      <w:proofErr w:type="spellEnd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numerar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proofErr w:type="gramEnd"/>
    </w:p>
    <w:p w14:paraId="662978DE" w14:textId="33CAD89A" w:rsidR="00A80C1F" w:rsidRPr="00A80C1F" w:rsidRDefault="00A80C1F" w:rsidP="00A80C1F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68.02.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15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jutor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social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,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X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asistență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socială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57.02.01 –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ajutoare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sociale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numerar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proofErr w:type="gramEnd"/>
    </w:p>
    <w:p w14:paraId="677EE08F" w14:textId="159F9694" w:rsidR="002F5484" w:rsidRPr="00A80C1F" w:rsidRDefault="002F5484" w:rsidP="002F5484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3" w:name="_Hlk148619141"/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70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.02.05.0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–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Alimentare</w:t>
      </w:r>
      <w:proofErr w:type="spellEnd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apă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20.01.06 – </w:t>
      </w:r>
      <w:proofErr w:type="spell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piese</w:t>
      </w:r>
      <w:proofErr w:type="spellEnd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proofErr w:type="gramStart"/>
      <w:r w:rsidR="003328F7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schimb</w:t>
      </w:r>
      <w:bookmarkEnd w:id="3"/>
      <w:proofErr w:type="spellEnd"/>
      <w:r w:rsid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proofErr w:type="gramEnd"/>
    </w:p>
    <w:p w14:paraId="408CE4BB" w14:textId="5B5AEA38" w:rsidR="00A80C1F" w:rsidRPr="0069050F" w:rsidRDefault="00A80C1F" w:rsidP="00A80C1F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70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.02.05.0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–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Alimentare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apă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20.01.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30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bookmarkStart w:id="4" w:name="_Hlk148619483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–</w:t>
      </w:r>
      <w:r w:rsidRP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alte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întreținere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</w:p>
    <w:p w14:paraId="08961794" w14:textId="1FAB718F" w:rsidR="00A80C1F" w:rsidRPr="0069050F" w:rsidRDefault="00A80C1F" w:rsidP="00A80C1F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5" w:name="_Hlk148619400"/>
      <w:bookmarkEnd w:id="4"/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70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.02.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50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–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Alte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locuințelor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serviciilor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dezvoltării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comunale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20.01.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05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</w:t>
      </w:r>
      <w:r w:rsidRP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carburanți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ți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lubrifianți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</w:p>
    <w:bookmarkEnd w:id="5"/>
    <w:p w14:paraId="566330C7" w14:textId="2E927FD7" w:rsidR="000D220F" w:rsidRPr="00D64E5E" w:rsidRDefault="00D64E5E" w:rsidP="00D64E5E">
      <w:pPr>
        <w:pStyle w:val="Listparagraf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partea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cheltuieli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cu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suma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de </w:t>
      </w:r>
      <w:r w:rsidR="00227EC3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0</w:t>
      </w:r>
      <w:r w:rsidRPr="002F5484">
        <w:rPr>
          <w:rStyle w:val="Robust"/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.000 lei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la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secțiunea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capitolul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70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.02.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50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–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Alte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locuințelor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serviciilor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dezvoltării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comunale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, </w:t>
      </w:r>
      <w:proofErr w:type="spellStart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Titlul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I</w:t>
      </w:r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 20.01.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30</w:t>
      </w:r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––</w:t>
      </w:r>
      <w:r w:rsidRPr="00A80C1F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alte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bunuri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servicii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întreținere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funcționare</w:t>
      </w:r>
      <w:proofErr w:type="spell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>;</w:t>
      </w:r>
      <w:proofErr w:type="gramEnd"/>
      <w:r w:rsidRPr="002F5484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  <w:r w:rsidRPr="00D64E5E">
        <w:rPr>
          <w:rFonts w:ascii="Times New Roman" w:hAnsi="Times New Roman" w:cs="Times New Roman"/>
          <w:b/>
          <w:bCs/>
          <w:color w:val="484848"/>
          <w:sz w:val="24"/>
          <w:szCs w:val="24"/>
          <w:shd w:val="clear" w:color="auto" w:fill="FFFFFF"/>
        </w:rPr>
        <w:t xml:space="preserve"> </w:t>
      </w:r>
    </w:p>
    <w:p w14:paraId="3B2FED76" w14:textId="6606359B" w:rsidR="00082EBF" w:rsidRPr="0056661B" w:rsidRDefault="00082EBF" w:rsidP="00082EBF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        </w:t>
      </w:r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Bugetul de venituri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cheltuieli, al Consiliului Local al comunei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Târguşor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,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judeţul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Constanţa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, v-a fi detaliat pe capitole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subcapitole </w:t>
      </w:r>
      <w:proofErr w:type="spellStart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>şi</w:t>
      </w:r>
      <w:proofErr w:type="spellEnd"/>
      <w:r w:rsidRPr="0056661B">
        <w:rPr>
          <w:rFonts w:ascii="Times New Roman" w:eastAsia="Times New Roman" w:hAnsi="Times New Roman" w:cs="Arial"/>
          <w:b/>
          <w:bCs/>
          <w:color w:val="000000"/>
          <w:kern w:val="1"/>
          <w:sz w:val="24"/>
          <w:szCs w:val="24"/>
          <w:lang w:val="ro-RO" w:eastAsia="ar-SA"/>
        </w:rPr>
        <w:t xml:space="preserve"> va fi prezentat sub formă de anexă la proiectul de hotărâre. </w:t>
      </w:r>
    </w:p>
    <w:p w14:paraId="6D245A36" w14:textId="2C35BFAF" w:rsidR="000D220F" w:rsidRPr="0056661B" w:rsidRDefault="00082EBF" w:rsidP="00E9781A">
      <w:pPr>
        <w:tabs>
          <w:tab w:val="left" w:pos="567"/>
          <w:tab w:val="left" w:pos="851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  <w:t xml:space="preserve">       </w:t>
      </w:r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Având in vedere cele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>menţionate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 mai sus, propun membrilor Consiliului Local al comunei </w:t>
      </w:r>
      <w:proofErr w:type="spellStart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>Târguşor</w:t>
      </w:r>
      <w:proofErr w:type="spellEnd"/>
      <w:r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 adoptarea hotărârii in forma prezentata in proiect.</w:t>
      </w:r>
    </w:p>
    <w:p w14:paraId="6043F850" w14:textId="77777777" w:rsidR="00082EBF" w:rsidRDefault="00082EBF" w:rsidP="00082EBF">
      <w:pPr>
        <w:suppressAutoHyphens/>
        <w:spacing w:after="0" w:line="240" w:lineRule="auto"/>
        <w:ind w:left="-567" w:right="-567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</w:pPr>
    </w:p>
    <w:p w14:paraId="4FDDB89F" w14:textId="77777777" w:rsidR="002F5484" w:rsidRDefault="002F5484" w:rsidP="00082EBF">
      <w:pPr>
        <w:suppressAutoHyphens/>
        <w:spacing w:after="0" w:line="240" w:lineRule="auto"/>
        <w:ind w:left="-567" w:right="-567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</w:pPr>
    </w:p>
    <w:p w14:paraId="177C91D6" w14:textId="77777777" w:rsidR="002F5484" w:rsidRDefault="002F5484" w:rsidP="00082EBF">
      <w:pPr>
        <w:suppressAutoHyphens/>
        <w:spacing w:after="0" w:line="240" w:lineRule="auto"/>
        <w:ind w:left="-567" w:right="-567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</w:pPr>
    </w:p>
    <w:p w14:paraId="3685BF1C" w14:textId="77777777" w:rsidR="002F5484" w:rsidRPr="0056661B" w:rsidRDefault="002F5484" w:rsidP="00082EBF">
      <w:pPr>
        <w:suppressAutoHyphens/>
        <w:spacing w:after="0" w:line="240" w:lineRule="auto"/>
        <w:ind w:left="-567" w:right="-567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</w:pPr>
    </w:p>
    <w:p w14:paraId="3ECBE1CD" w14:textId="2A99F8B8" w:rsidR="0056661B" w:rsidRPr="0056661B" w:rsidRDefault="0056661B" w:rsidP="007749EC">
      <w:pPr>
        <w:tabs>
          <w:tab w:val="left" w:pos="0"/>
        </w:tabs>
        <w:suppressAutoHyphens/>
        <w:spacing w:after="0" w:line="240" w:lineRule="auto"/>
        <w:ind w:left="-567" w:right="-567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val="en-US" w:eastAsia="ar-SA"/>
        </w:rPr>
      </w:pPr>
    </w:p>
    <w:p w14:paraId="6B1474AD" w14:textId="0E5C1AB6" w:rsidR="0056661B" w:rsidRPr="001E1BB5" w:rsidRDefault="001E1BB5" w:rsidP="001E1BB5">
      <w:pPr>
        <w:tabs>
          <w:tab w:val="left" w:pos="567"/>
          <w:tab w:val="left" w:pos="851"/>
        </w:tabs>
        <w:suppressAutoHyphens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                                                     </w:t>
      </w:r>
      <w:r w:rsidR="0056661B"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ro-RO" w:eastAsia="ar-SA"/>
        </w:rPr>
        <w:t xml:space="preserve">   INSPECTOR</w:t>
      </w:r>
      <w:r w:rsidR="0056661B" w:rsidRPr="0056661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,</w:t>
      </w:r>
    </w:p>
    <w:p w14:paraId="0ACD0571" w14:textId="77777777" w:rsidR="0056661B" w:rsidRPr="0056661B" w:rsidRDefault="0056661B" w:rsidP="00566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76566570" w14:textId="77777777" w:rsidR="0056661B" w:rsidRPr="0056661B" w:rsidRDefault="0056661B" w:rsidP="00566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</w:pPr>
    </w:p>
    <w:p w14:paraId="7EC6D4BD" w14:textId="27372665" w:rsidR="0056661B" w:rsidRDefault="0056661B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  <w:bookmarkStart w:id="6" w:name="_Hlk69211901"/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                                         </w:t>
      </w:r>
      <w:r w:rsidR="00082EBF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ro-RO" w:eastAsia="ar-SA"/>
        </w:rPr>
        <w:t xml:space="preserve">    </w:t>
      </w:r>
      <w:r w:rsidR="00082EB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  <w:t>Elena</w:t>
      </w:r>
      <w:r w:rsidRPr="0056661B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  <w:t xml:space="preserve"> </w:t>
      </w:r>
      <w:r w:rsidR="00082EBF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  <w:t>SIMION</w:t>
      </w:r>
    </w:p>
    <w:p w14:paraId="0768681E" w14:textId="77777777" w:rsidR="002F5484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7B79A731" w14:textId="77777777" w:rsidR="002F5484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4F958E76" w14:textId="77777777" w:rsidR="002F5484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5638F159" w14:textId="77777777" w:rsidR="002F5484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2734086C" w14:textId="77777777" w:rsidR="002F5484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6B1F1551" w14:textId="77777777" w:rsidR="002F5484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65A0BA68" w14:textId="77777777" w:rsidR="002F5484" w:rsidRPr="00E9781A" w:rsidRDefault="002F5484" w:rsidP="00E9781A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ro-RO" w:eastAsia="ar-SA"/>
        </w:rPr>
      </w:pPr>
    </w:p>
    <w:p w14:paraId="68708303" w14:textId="77777777" w:rsidR="0056661B" w:rsidRPr="0056661B" w:rsidRDefault="0056661B" w:rsidP="005666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  <w:lang w:val="ro-RO" w:eastAsia="ar-SA"/>
        </w:rPr>
      </w:pPr>
    </w:p>
    <w:p w14:paraId="3F5EFDEE" w14:textId="539112CF" w:rsidR="0056661B" w:rsidRPr="0056661B" w:rsidRDefault="00082EBF" w:rsidP="0056661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Dact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. S</w:t>
      </w:r>
      <w:r w:rsidR="0056661B" w:rsidRPr="0056661B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.</w:t>
      </w:r>
      <w:r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E</w:t>
      </w:r>
      <w:r w:rsidR="0056661B" w:rsidRPr="0056661B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.</w:t>
      </w:r>
    </w:p>
    <w:p w14:paraId="32B4559C" w14:textId="721B88CF" w:rsidR="0056661B" w:rsidRPr="003C2D55" w:rsidRDefault="0056661B" w:rsidP="003C2D55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</w:pPr>
      <w:r w:rsidRPr="0056661B">
        <w:rPr>
          <w:rFonts w:ascii="Times New Roman" w:eastAsia="Times New Roman" w:hAnsi="Times New Roman" w:cs="Times New Roman"/>
          <w:color w:val="000000"/>
          <w:kern w:val="1"/>
          <w:sz w:val="16"/>
          <w:szCs w:val="16"/>
          <w:lang w:val="ro-RO" w:eastAsia="ar-SA"/>
        </w:rPr>
        <w:t>4 ex</w:t>
      </w:r>
      <w:bookmarkEnd w:id="6"/>
    </w:p>
    <w:sectPr w:rsidR="0056661B" w:rsidRPr="003C2D55" w:rsidSect="00575B3E">
      <w:pgSz w:w="11907" w:h="16839" w:code="9"/>
      <w:pgMar w:top="720" w:right="1701" w:bottom="720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DE13" w14:textId="77777777" w:rsidR="00EA6BFC" w:rsidRDefault="00EA6BFC" w:rsidP="00D464EE">
      <w:pPr>
        <w:spacing w:after="0" w:line="240" w:lineRule="auto"/>
      </w:pPr>
      <w:r>
        <w:separator/>
      </w:r>
    </w:p>
  </w:endnote>
  <w:endnote w:type="continuationSeparator" w:id="0">
    <w:p w14:paraId="2884F5E9" w14:textId="77777777" w:rsidR="00EA6BFC" w:rsidRDefault="00EA6BFC" w:rsidP="00D4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2F019" w14:textId="77777777" w:rsidR="00EA6BFC" w:rsidRDefault="00EA6BFC" w:rsidP="00D464EE">
      <w:pPr>
        <w:spacing w:after="0" w:line="240" w:lineRule="auto"/>
      </w:pPr>
      <w:r>
        <w:separator/>
      </w:r>
    </w:p>
  </w:footnote>
  <w:footnote w:type="continuationSeparator" w:id="0">
    <w:p w14:paraId="48761DDF" w14:textId="77777777" w:rsidR="00EA6BFC" w:rsidRDefault="00EA6BFC" w:rsidP="00D46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64585D"/>
    <w:multiLevelType w:val="hybridMultilevel"/>
    <w:tmpl w:val="25A45BF8"/>
    <w:lvl w:ilvl="0" w:tplc="ADB20682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68780969"/>
    <w:multiLevelType w:val="multilevel"/>
    <w:tmpl w:val="475E3A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429290">
    <w:abstractNumId w:val="0"/>
  </w:num>
  <w:num w:numId="2" w16cid:durableId="772087891">
    <w:abstractNumId w:val="2"/>
  </w:num>
  <w:num w:numId="3" w16cid:durableId="181903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643C"/>
    <w:rsid w:val="000025AA"/>
    <w:rsid w:val="00013142"/>
    <w:rsid w:val="000319AA"/>
    <w:rsid w:val="000346E1"/>
    <w:rsid w:val="00077DD2"/>
    <w:rsid w:val="00082EBF"/>
    <w:rsid w:val="00084780"/>
    <w:rsid w:val="00093AEB"/>
    <w:rsid w:val="000D220F"/>
    <w:rsid w:val="000E2DC9"/>
    <w:rsid w:val="000F31EA"/>
    <w:rsid w:val="00115A4B"/>
    <w:rsid w:val="00120CFF"/>
    <w:rsid w:val="00163970"/>
    <w:rsid w:val="00195D00"/>
    <w:rsid w:val="0019643C"/>
    <w:rsid w:val="001E1BB5"/>
    <w:rsid w:val="001F2AE4"/>
    <w:rsid w:val="001F5500"/>
    <w:rsid w:val="001F6295"/>
    <w:rsid w:val="00227EC3"/>
    <w:rsid w:val="0025770D"/>
    <w:rsid w:val="00266128"/>
    <w:rsid w:val="0027022B"/>
    <w:rsid w:val="002777B3"/>
    <w:rsid w:val="00297822"/>
    <w:rsid w:val="002A0B47"/>
    <w:rsid w:val="002A122D"/>
    <w:rsid w:val="002B48FD"/>
    <w:rsid w:val="002B53F4"/>
    <w:rsid w:val="002D0064"/>
    <w:rsid w:val="002D063E"/>
    <w:rsid w:val="002D0A6F"/>
    <w:rsid w:val="002F5484"/>
    <w:rsid w:val="00310203"/>
    <w:rsid w:val="0031367D"/>
    <w:rsid w:val="00313E39"/>
    <w:rsid w:val="003328F7"/>
    <w:rsid w:val="003620E6"/>
    <w:rsid w:val="00370DC1"/>
    <w:rsid w:val="003C2D55"/>
    <w:rsid w:val="003C2E3F"/>
    <w:rsid w:val="004160CE"/>
    <w:rsid w:val="00431CC3"/>
    <w:rsid w:val="00462E83"/>
    <w:rsid w:val="00463F3E"/>
    <w:rsid w:val="004D5CBE"/>
    <w:rsid w:val="004F72FA"/>
    <w:rsid w:val="0050451F"/>
    <w:rsid w:val="0050644F"/>
    <w:rsid w:val="00510132"/>
    <w:rsid w:val="00520001"/>
    <w:rsid w:val="00543DB1"/>
    <w:rsid w:val="00547C02"/>
    <w:rsid w:val="005519F8"/>
    <w:rsid w:val="0056661B"/>
    <w:rsid w:val="00575B3E"/>
    <w:rsid w:val="00584D40"/>
    <w:rsid w:val="005B0164"/>
    <w:rsid w:val="00616007"/>
    <w:rsid w:val="006441C5"/>
    <w:rsid w:val="00656634"/>
    <w:rsid w:val="0068148F"/>
    <w:rsid w:val="0069040C"/>
    <w:rsid w:val="0069050F"/>
    <w:rsid w:val="006C6C7C"/>
    <w:rsid w:val="006E5DF0"/>
    <w:rsid w:val="00706792"/>
    <w:rsid w:val="00740289"/>
    <w:rsid w:val="00772FB6"/>
    <w:rsid w:val="007749EC"/>
    <w:rsid w:val="007A459F"/>
    <w:rsid w:val="007B042E"/>
    <w:rsid w:val="007C2B94"/>
    <w:rsid w:val="007D2BC9"/>
    <w:rsid w:val="00805F22"/>
    <w:rsid w:val="00866EF4"/>
    <w:rsid w:val="008860C5"/>
    <w:rsid w:val="008D1BD5"/>
    <w:rsid w:val="008E6BA2"/>
    <w:rsid w:val="00915EAE"/>
    <w:rsid w:val="009164F1"/>
    <w:rsid w:val="009166A6"/>
    <w:rsid w:val="0092575F"/>
    <w:rsid w:val="00967902"/>
    <w:rsid w:val="009B2D98"/>
    <w:rsid w:val="009B648F"/>
    <w:rsid w:val="009D5497"/>
    <w:rsid w:val="00A00A86"/>
    <w:rsid w:val="00A13922"/>
    <w:rsid w:val="00A14B1E"/>
    <w:rsid w:val="00A278CE"/>
    <w:rsid w:val="00A80940"/>
    <w:rsid w:val="00A80C1F"/>
    <w:rsid w:val="00B05508"/>
    <w:rsid w:val="00B11D85"/>
    <w:rsid w:val="00BD144A"/>
    <w:rsid w:val="00BD3D86"/>
    <w:rsid w:val="00C17DA0"/>
    <w:rsid w:val="00C4237D"/>
    <w:rsid w:val="00C435F5"/>
    <w:rsid w:val="00C868A2"/>
    <w:rsid w:val="00C9204E"/>
    <w:rsid w:val="00CE1FF0"/>
    <w:rsid w:val="00CE2475"/>
    <w:rsid w:val="00D00905"/>
    <w:rsid w:val="00D1347E"/>
    <w:rsid w:val="00D464EE"/>
    <w:rsid w:val="00D53E88"/>
    <w:rsid w:val="00D64E5E"/>
    <w:rsid w:val="00D7024F"/>
    <w:rsid w:val="00D70EF9"/>
    <w:rsid w:val="00D724C0"/>
    <w:rsid w:val="00D945A3"/>
    <w:rsid w:val="00D9551C"/>
    <w:rsid w:val="00DA362B"/>
    <w:rsid w:val="00DA4778"/>
    <w:rsid w:val="00DB1993"/>
    <w:rsid w:val="00DE37AF"/>
    <w:rsid w:val="00DF39CA"/>
    <w:rsid w:val="00E25E48"/>
    <w:rsid w:val="00E439E4"/>
    <w:rsid w:val="00E54037"/>
    <w:rsid w:val="00E73713"/>
    <w:rsid w:val="00E81764"/>
    <w:rsid w:val="00E970A3"/>
    <w:rsid w:val="00E9781A"/>
    <w:rsid w:val="00EA3C60"/>
    <w:rsid w:val="00EA6BFC"/>
    <w:rsid w:val="00EB6B13"/>
    <w:rsid w:val="00ED4746"/>
    <w:rsid w:val="00F04129"/>
    <w:rsid w:val="00F10723"/>
    <w:rsid w:val="00F16747"/>
    <w:rsid w:val="00F27C2A"/>
    <w:rsid w:val="00F35169"/>
    <w:rsid w:val="00F46F77"/>
    <w:rsid w:val="00F905F4"/>
    <w:rsid w:val="00FF07FE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8E77"/>
  <w15:chartTrackingRefBased/>
  <w15:docId w15:val="{4ED71023-6C9E-49B1-B64A-1CE2EC76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02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00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56661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6661B"/>
    <w:rPr>
      <w:rFonts w:ascii="Times New Roman" w:eastAsia="Times New Roman" w:hAnsi="Times New Roman" w:cs="Times New Roman"/>
      <w:b/>
      <w:bCs/>
      <w:kern w:val="1"/>
      <w:sz w:val="28"/>
      <w:szCs w:val="24"/>
      <w:lang w:val="ro-RO" w:eastAsia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A00A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et">
    <w:name w:val="header"/>
    <w:basedOn w:val="Normal"/>
    <w:link w:val="AntetCaracter"/>
    <w:uiPriority w:val="99"/>
    <w:unhideWhenUsed/>
    <w:rsid w:val="00D4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464EE"/>
  </w:style>
  <w:style w:type="paragraph" w:styleId="Subsol">
    <w:name w:val="footer"/>
    <w:basedOn w:val="Normal"/>
    <w:link w:val="SubsolCaracter"/>
    <w:uiPriority w:val="99"/>
    <w:unhideWhenUsed/>
    <w:rsid w:val="00D4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464EE"/>
  </w:style>
  <w:style w:type="paragraph" w:customStyle="1" w:styleId="Corptext31">
    <w:name w:val="Corp text 31"/>
    <w:basedOn w:val="Normal"/>
    <w:rsid w:val="00E73713"/>
    <w:pPr>
      <w:suppressAutoHyphens/>
      <w:spacing w:after="0" w:line="240" w:lineRule="auto"/>
      <w:ind w:right="-153"/>
    </w:pPr>
    <w:rPr>
      <w:rFonts w:ascii="Arial" w:eastAsia="Times New Roman" w:hAnsi="Arial" w:cs="Arial"/>
      <w:b/>
      <w:bCs/>
      <w:color w:val="000000"/>
      <w:kern w:val="1"/>
      <w:sz w:val="24"/>
      <w:szCs w:val="24"/>
      <w:lang w:val="ro-RO" w:eastAsia="ar-SA"/>
    </w:rPr>
  </w:style>
  <w:style w:type="character" w:styleId="Robust">
    <w:name w:val="Strong"/>
    <w:basedOn w:val="Fontdeparagrafimplicit"/>
    <w:uiPriority w:val="22"/>
    <w:qFormat/>
    <w:rsid w:val="00F46F77"/>
    <w:rPr>
      <w:b/>
      <w:bCs/>
    </w:rPr>
  </w:style>
  <w:style w:type="paragraph" w:styleId="Listparagraf">
    <w:name w:val="List Paragraph"/>
    <w:basedOn w:val="Normal"/>
    <w:uiPriority w:val="34"/>
    <w:qFormat/>
    <w:rsid w:val="001E1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Grama</dc:creator>
  <cp:keywords/>
  <dc:description/>
  <cp:lastModifiedBy>Elena Simion</cp:lastModifiedBy>
  <cp:revision>93</cp:revision>
  <cp:lastPrinted>2023-10-19T12:20:00Z</cp:lastPrinted>
  <dcterms:created xsi:type="dcterms:W3CDTF">2021-05-17T11:02:00Z</dcterms:created>
  <dcterms:modified xsi:type="dcterms:W3CDTF">2023-10-19T12:29:00Z</dcterms:modified>
</cp:coreProperties>
</file>